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149911426"/>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10296"/>
          </w:tblGrid>
          <w:tr w:rsidR="00B9517A">
            <w:trPr>
              <w:trHeight w:val="2880"/>
              <w:jc w:val="center"/>
            </w:trPr>
            <w:tc>
              <w:tcPr>
                <w:tcW w:w="5000" w:type="pct"/>
              </w:tcPr>
              <w:p w:rsidR="00B9517A" w:rsidRDefault="00B9517A" w:rsidP="00AF55CD">
                <w:pPr>
                  <w:pStyle w:val="NoSpacing"/>
                  <w:jc w:val="center"/>
                  <w:rPr>
                    <w:rFonts w:asciiTheme="majorHAnsi" w:eastAsiaTheme="majorEastAsia" w:hAnsiTheme="majorHAnsi" w:cstheme="majorBidi"/>
                    <w:caps/>
                  </w:rPr>
                </w:pPr>
              </w:p>
            </w:tc>
          </w:tr>
          <w:tr w:rsidR="00B9517A">
            <w:trPr>
              <w:trHeight w:val="1440"/>
              <w:jc w:val="center"/>
            </w:trPr>
            <w:sdt>
              <w:sdtPr>
                <w:rPr>
                  <w:rFonts w:asciiTheme="majorHAnsi" w:eastAsiaTheme="majorEastAsia" w:hAnsiTheme="majorHAnsi" w:cstheme="majorBidi"/>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9517A" w:rsidRDefault="00B9517A" w:rsidP="00B9517A">
                    <w:pPr>
                      <w:pStyle w:val="NoSpacing"/>
                      <w:jc w:val="center"/>
                      <w:rPr>
                        <w:rFonts w:asciiTheme="majorHAnsi" w:eastAsiaTheme="majorEastAsia" w:hAnsiTheme="majorHAnsi" w:cstheme="majorBidi"/>
                        <w:sz w:val="80"/>
                        <w:szCs w:val="80"/>
                      </w:rPr>
                    </w:pPr>
                    <w:r w:rsidRPr="00B9517A">
                      <w:rPr>
                        <w:rFonts w:asciiTheme="majorHAnsi" w:eastAsiaTheme="majorEastAsia" w:hAnsiTheme="majorHAnsi" w:cstheme="majorBidi"/>
                        <w:sz w:val="72"/>
                        <w:szCs w:val="72"/>
                      </w:rPr>
                      <w:t>Oregon Credit for Prior Learning Standards</w:t>
                    </w:r>
                  </w:p>
                </w:tc>
              </w:sdtContent>
            </w:sdt>
          </w:tr>
          <w:tr w:rsidR="00B9517A">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9517A" w:rsidRDefault="00B9517A" w:rsidP="00B9517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Draft for Institutional Consideration</w:t>
                    </w:r>
                  </w:p>
                </w:tc>
              </w:sdtContent>
            </w:sdt>
          </w:tr>
          <w:tr w:rsidR="00B9517A">
            <w:trPr>
              <w:trHeight w:val="360"/>
              <w:jc w:val="center"/>
            </w:trPr>
            <w:tc>
              <w:tcPr>
                <w:tcW w:w="5000" w:type="pct"/>
                <w:vAlign w:val="center"/>
              </w:tcPr>
              <w:p w:rsidR="00B9517A" w:rsidRDefault="00B9517A">
                <w:pPr>
                  <w:pStyle w:val="NoSpacing"/>
                  <w:jc w:val="center"/>
                </w:pPr>
              </w:p>
            </w:tc>
          </w:tr>
          <w:tr w:rsidR="00B9517A">
            <w:trPr>
              <w:trHeight w:val="360"/>
              <w:jc w:val="center"/>
            </w:trPr>
            <w:sdt>
              <w:sdtPr>
                <w:rPr>
                  <w:bCs/>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9517A" w:rsidRDefault="00B9517A">
                    <w:pPr>
                      <w:pStyle w:val="NoSpacing"/>
                      <w:jc w:val="center"/>
                      <w:rPr>
                        <w:b/>
                        <w:bCs/>
                      </w:rPr>
                    </w:pPr>
                    <w:r w:rsidRPr="00B9517A">
                      <w:rPr>
                        <w:bCs/>
                        <w:sz w:val="32"/>
                        <w:szCs w:val="32"/>
                      </w:rPr>
                      <w:t>Oregon Higher Education Coordinating Commission</w:t>
                    </w:r>
                  </w:p>
                </w:tc>
              </w:sdtContent>
            </w:sdt>
          </w:tr>
          <w:tr w:rsidR="00B9517A">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B9517A" w:rsidRDefault="00B9517A" w:rsidP="00B9517A">
                    <w:pPr>
                      <w:pStyle w:val="NoSpacing"/>
                      <w:jc w:val="center"/>
                      <w:rPr>
                        <w:b/>
                        <w:bCs/>
                      </w:rPr>
                    </w:pPr>
                    <w:r>
                      <w:rPr>
                        <w:b/>
                        <w:bCs/>
                      </w:rPr>
                      <w:t>Fall 2013</w:t>
                    </w:r>
                  </w:p>
                </w:tc>
              </w:sdtContent>
            </w:sdt>
          </w:tr>
        </w:tbl>
        <w:p w:rsidR="00B9517A" w:rsidRDefault="00B9517A"/>
        <w:p w:rsidR="00B9517A" w:rsidRDefault="00B9517A"/>
        <w:tbl>
          <w:tblPr>
            <w:tblpPr w:leftFromText="187" w:rightFromText="187" w:horzAnchor="margin" w:tblpXSpec="center" w:tblpYSpec="bottom"/>
            <w:tblW w:w="5000" w:type="pct"/>
            <w:tblLook w:val="04A0" w:firstRow="1" w:lastRow="0" w:firstColumn="1" w:lastColumn="0" w:noHBand="0" w:noVBand="1"/>
          </w:tblPr>
          <w:tblGrid>
            <w:gridCol w:w="10296"/>
          </w:tblGrid>
          <w:tr w:rsidR="00B9517A">
            <w:tc>
              <w:tcPr>
                <w:tcW w:w="5000" w:type="pct"/>
              </w:tcPr>
              <w:p w:rsidR="00B9517A" w:rsidRDefault="00B9517A" w:rsidP="00AF55CD">
                <w:pPr>
                  <w:pStyle w:val="NoSpacing"/>
                </w:pPr>
              </w:p>
            </w:tc>
          </w:tr>
        </w:tbl>
        <w:p w:rsidR="00B9517A" w:rsidRDefault="00B9517A"/>
        <w:p w:rsidR="00B9517A" w:rsidRDefault="00B9517A">
          <w:pPr>
            <w:spacing w:after="200" w:line="276" w:lineRule="auto"/>
          </w:pPr>
          <w:r>
            <w:br w:type="page"/>
          </w:r>
        </w:p>
      </w:sdtContent>
    </w:sdt>
    <w:p w:rsidR="00D43F74" w:rsidRPr="00215FD0" w:rsidRDefault="00D43F74" w:rsidP="00D43F74">
      <w:pPr>
        <w:shd w:val="clear" w:color="auto" w:fill="FFFFFF"/>
        <w:jc w:val="center"/>
        <w:rPr>
          <w:b/>
        </w:rPr>
      </w:pPr>
      <w:r w:rsidRPr="00215FD0">
        <w:rPr>
          <w:b/>
        </w:rPr>
        <w:lastRenderedPageBreak/>
        <w:t xml:space="preserve">Oregon Higher Education Coordinating Commission </w:t>
      </w:r>
    </w:p>
    <w:p w:rsidR="00D43F74" w:rsidRPr="00215FD0" w:rsidRDefault="007C4148" w:rsidP="00D43F74">
      <w:pPr>
        <w:shd w:val="clear" w:color="auto" w:fill="FFFFFF"/>
        <w:jc w:val="center"/>
        <w:rPr>
          <w:b/>
        </w:rPr>
      </w:pPr>
      <w:r>
        <w:rPr>
          <w:b/>
        </w:rPr>
        <w:t>Credit for Prior Learning</w:t>
      </w:r>
      <w:r w:rsidR="00D43F74" w:rsidRPr="00215FD0">
        <w:rPr>
          <w:b/>
        </w:rPr>
        <w:t xml:space="preserve"> Standards </w:t>
      </w:r>
    </w:p>
    <w:p w:rsidR="00D43F74" w:rsidRPr="00215FD0" w:rsidRDefault="00D43F74" w:rsidP="00D43F74">
      <w:pPr>
        <w:shd w:val="clear" w:color="auto" w:fill="FFFFFF"/>
        <w:jc w:val="center"/>
      </w:pPr>
    </w:p>
    <w:p w:rsidR="00D43F74" w:rsidRPr="00215FD0" w:rsidRDefault="00D43F74" w:rsidP="00D43F74">
      <w:pPr>
        <w:shd w:val="clear" w:color="auto" w:fill="FFFFFF"/>
        <w:rPr>
          <w:b/>
          <w:u w:val="single"/>
        </w:rPr>
      </w:pPr>
      <w:r w:rsidRPr="00215FD0">
        <w:rPr>
          <w:b/>
          <w:u w:val="single"/>
        </w:rPr>
        <w:t>Introduction:</w:t>
      </w:r>
    </w:p>
    <w:p w:rsidR="00D43F74" w:rsidRPr="00215FD0" w:rsidRDefault="00D43F74" w:rsidP="00D43F74"/>
    <w:p w:rsidR="00D43F74" w:rsidRPr="00215FD0" w:rsidRDefault="00D43F74" w:rsidP="00D602E8">
      <w:r w:rsidRPr="00215FD0">
        <w:t xml:space="preserve">House Bill </w:t>
      </w:r>
      <w:r w:rsidR="007C4148" w:rsidRPr="00215FD0">
        <w:t>4059,</w:t>
      </w:r>
      <w:r w:rsidRPr="00215FD0">
        <w:t xml:space="preserve"> passed by the 2012 Oregon Legislature, directed the Higher Education Coordinating Commission (HECC) to work with the </w:t>
      </w:r>
      <w:r w:rsidR="002833ED">
        <w:t xml:space="preserve">State Board of Education, </w:t>
      </w:r>
      <w:r w:rsidRPr="00215FD0">
        <w:t>State Board of Higher Education, community college districts, independent not-for-profit institutions of higher education and the for</w:t>
      </w:r>
      <w:r w:rsidR="002833ED">
        <w:t>-</w:t>
      </w:r>
      <w:r w:rsidRPr="00215FD0">
        <w:t>profit private career colleges to carry out specific goals for expanding and improving access to Credit for Prior Learning</w:t>
      </w:r>
      <w:r w:rsidR="007C4148">
        <w:t xml:space="preserve"> (CPL)</w:t>
      </w:r>
      <w:r w:rsidRPr="00215FD0">
        <w:t xml:space="preserve">.  </w:t>
      </w:r>
      <w:r w:rsidR="00302253">
        <w:t xml:space="preserve">CPL is defined as credit obtained through evidence-based assessment of learning that occurs outside of traditional college-level coursework. </w:t>
      </w:r>
      <w:r w:rsidRPr="00215FD0">
        <w:t xml:space="preserve">One of the goals for the bill was to “increase the number of students who receive academic credit for prior learning...., while ensuring that credit is awarded only for high quality course-level competencies.”  The </w:t>
      </w:r>
      <w:r w:rsidR="007C4148">
        <w:t>CPL</w:t>
      </w:r>
      <w:r w:rsidRPr="00215FD0">
        <w:t xml:space="preserve"> Advisory Committee, under the auspices of the Commission, identified a set of implementation strategies in response to legislative goals outlined in the bill.  One of strategies was to develop policies and state standards in collaboration with the higher education institutions to ensure colleges and universities develop and maintain high quality </w:t>
      </w:r>
      <w:r w:rsidR="007C4148">
        <w:t>CPL</w:t>
      </w:r>
      <w:r w:rsidRPr="00215FD0">
        <w:t xml:space="preserve"> opportunities for students.   </w:t>
      </w:r>
    </w:p>
    <w:p w:rsidR="00D43F74" w:rsidRPr="00215FD0" w:rsidRDefault="00D43F74" w:rsidP="00D43F74">
      <w:pPr>
        <w:shd w:val="clear" w:color="auto" w:fill="FFFFFF"/>
        <w:rPr>
          <w:b/>
          <w:u w:val="single"/>
        </w:rPr>
      </w:pPr>
    </w:p>
    <w:p w:rsidR="00D43F74" w:rsidRPr="00215FD0" w:rsidRDefault="00D43F74" w:rsidP="00D602E8">
      <w:r w:rsidRPr="00215FD0">
        <w:t>The HECC directs Oregon postsecondary institutions</w:t>
      </w:r>
      <w:r w:rsidR="00EA3DD8">
        <w:t xml:space="preserve"> that</w:t>
      </w:r>
      <w:r w:rsidR="00003934">
        <w:t xml:space="preserve"> award </w:t>
      </w:r>
      <w:r w:rsidR="007C4148">
        <w:t>CPL</w:t>
      </w:r>
      <w:r w:rsidR="00003934">
        <w:t xml:space="preserve"> to adopt a set of standards. </w:t>
      </w:r>
      <w:r w:rsidR="00BB526E">
        <w:t xml:space="preserve">The decision to award CPL is determined by the institution. The institution’s decision must be transparent to students, faculty, staff and stakeholders.  </w:t>
      </w:r>
      <w:r w:rsidRPr="00215FD0">
        <w:t xml:space="preserve"> These standards shall build on the recognition and acknowledgement that credit awarded for prior learning is granted only for evidence of learning and not solely on the basis of experience. Foundational to these standards is faculty involvement and use of their expertise to assess credit awarded to students.  Credit may be awarded thr</w:t>
      </w:r>
      <w:r w:rsidR="002833ED">
        <w:t>ough</w:t>
      </w:r>
      <w:r w:rsidRPr="00215FD0">
        <w:t xml:space="preserve"> these types of assessments: </w:t>
      </w:r>
    </w:p>
    <w:p w:rsidR="00D43F74" w:rsidRPr="00215FD0" w:rsidRDefault="00D43F74" w:rsidP="00D43F74">
      <w:pPr>
        <w:ind w:firstLine="360"/>
      </w:pPr>
    </w:p>
    <w:p w:rsidR="00D43F74" w:rsidRPr="00215FD0" w:rsidRDefault="000E57EA" w:rsidP="00D43F74">
      <w:pPr>
        <w:ind w:firstLine="360"/>
      </w:pPr>
      <w:r>
        <w:t xml:space="preserve">Credit by Assessment at the </w:t>
      </w:r>
      <w:r w:rsidR="00D43F74" w:rsidRPr="00215FD0">
        <w:t>Postsecondary Level:</w:t>
      </w:r>
    </w:p>
    <w:p w:rsidR="00D43F74" w:rsidRPr="00215FD0" w:rsidRDefault="00D43F74" w:rsidP="00D43F74">
      <w:pPr>
        <w:pStyle w:val="ListParagraph"/>
        <w:numPr>
          <w:ilvl w:val="0"/>
          <w:numId w:val="2"/>
        </w:numPr>
        <w:tabs>
          <w:tab w:val="left" w:pos="1080"/>
        </w:tabs>
      </w:pPr>
      <w:r w:rsidRPr="00215FD0">
        <w:t>Portfolio</w:t>
      </w:r>
    </w:p>
    <w:p w:rsidR="00D43F74" w:rsidRPr="00215FD0" w:rsidRDefault="00D43F74" w:rsidP="00D43F74">
      <w:pPr>
        <w:pStyle w:val="ListParagraph"/>
        <w:numPr>
          <w:ilvl w:val="0"/>
          <w:numId w:val="2"/>
        </w:numPr>
        <w:tabs>
          <w:tab w:val="left" w:pos="1080"/>
        </w:tabs>
      </w:pPr>
      <w:r w:rsidRPr="00215FD0">
        <w:t>Institutional Challenge Exams and other forms of assessment</w:t>
      </w:r>
    </w:p>
    <w:p w:rsidR="00D43F74" w:rsidRPr="00215FD0" w:rsidRDefault="00D43F74" w:rsidP="00D43F74">
      <w:pPr>
        <w:pStyle w:val="ListParagraph"/>
        <w:numPr>
          <w:ilvl w:val="0"/>
          <w:numId w:val="2"/>
        </w:numPr>
        <w:tabs>
          <w:tab w:val="left" w:pos="1080"/>
        </w:tabs>
      </w:pPr>
      <w:r w:rsidRPr="00215FD0">
        <w:t>Credit – By-Exam (CLEP, DANTES, etc.)</w:t>
      </w:r>
    </w:p>
    <w:p w:rsidR="00D43F74" w:rsidRPr="00215FD0" w:rsidRDefault="00D43F74" w:rsidP="00D43F74">
      <w:pPr>
        <w:pStyle w:val="ListParagraph"/>
        <w:numPr>
          <w:ilvl w:val="0"/>
          <w:numId w:val="2"/>
        </w:numPr>
        <w:tabs>
          <w:tab w:val="left" w:pos="1080"/>
        </w:tabs>
      </w:pPr>
      <w:r w:rsidRPr="00215FD0">
        <w:t xml:space="preserve">ACE Credit Recommendation </w:t>
      </w:r>
      <w:r w:rsidR="000457A3">
        <w:t>(Military Service)</w:t>
      </w:r>
    </w:p>
    <w:p w:rsidR="00D43F74" w:rsidRPr="00215FD0" w:rsidRDefault="00D43F74" w:rsidP="00D43F74">
      <w:pPr>
        <w:pStyle w:val="ListParagraph"/>
        <w:numPr>
          <w:ilvl w:val="0"/>
          <w:numId w:val="2"/>
        </w:numPr>
        <w:tabs>
          <w:tab w:val="left" w:pos="1080"/>
        </w:tabs>
      </w:pPr>
      <w:r w:rsidRPr="00215FD0">
        <w:t>Industry Certifications</w:t>
      </w:r>
    </w:p>
    <w:p w:rsidR="00D43F74" w:rsidRPr="00215FD0" w:rsidRDefault="00D43F74" w:rsidP="00D43F74"/>
    <w:p w:rsidR="00D43F74" w:rsidRPr="00215FD0" w:rsidRDefault="00D43F74" w:rsidP="00D43F74">
      <w:pPr>
        <w:ind w:left="360"/>
      </w:pPr>
      <w:r w:rsidRPr="00215FD0">
        <w:t>Credit by Agreement from Secondary Level:</w:t>
      </w:r>
    </w:p>
    <w:p w:rsidR="00D43F74" w:rsidRPr="00215FD0" w:rsidRDefault="00D43F74" w:rsidP="00D43F74">
      <w:pPr>
        <w:pStyle w:val="ListParagraph"/>
        <w:numPr>
          <w:ilvl w:val="0"/>
          <w:numId w:val="3"/>
        </w:numPr>
      </w:pPr>
      <w:r w:rsidRPr="00215FD0">
        <w:t>International Baccalaureate</w:t>
      </w:r>
      <w:r w:rsidR="00714FCD">
        <w:t xml:space="preserve"> Program Exams</w:t>
      </w:r>
    </w:p>
    <w:p w:rsidR="00D43F74" w:rsidRPr="00215FD0" w:rsidRDefault="00D43F74" w:rsidP="00D43F74">
      <w:pPr>
        <w:pStyle w:val="ListParagraph"/>
        <w:numPr>
          <w:ilvl w:val="0"/>
          <w:numId w:val="3"/>
        </w:numPr>
      </w:pPr>
      <w:r w:rsidRPr="00215FD0">
        <w:t>Advanced Placement</w:t>
      </w:r>
      <w:r w:rsidR="00302253">
        <w:t xml:space="preserve"> Exams</w:t>
      </w:r>
    </w:p>
    <w:p w:rsidR="00D43F74" w:rsidRPr="00215FD0" w:rsidRDefault="00D43F74" w:rsidP="00D43F74">
      <w:pPr>
        <w:pStyle w:val="ListParagraph"/>
      </w:pPr>
    </w:p>
    <w:p w:rsidR="00D43F74" w:rsidRPr="00215FD0" w:rsidRDefault="00D43F74" w:rsidP="00D602E8">
      <w:pPr>
        <w:pStyle w:val="ListParagraph"/>
        <w:ind w:left="0"/>
      </w:pPr>
      <w:r w:rsidRPr="00215FD0">
        <w:t xml:space="preserve">The HECC has identified eight standards that must be addressed by all Oregon postsecondary institutions. These areas include: </w:t>
      </w:r>
    </w:p>
    <w:p w:rsidR="00D43F74" w:rsidRPr="00215FD0" w:rsidRDefault="00D43F74" w:rsidP="00D43F74">
      <w:pPr>
        <w:pStyle w:val="ListParagraph"/>
        <w:numPr>
          <w:ilvl w:val="0"/>
          <w:numId w:val="1"/>
        </w:numPr>
        <w:shd w:val="clear" w:color="auto" w:fill="FFFFFF"/>
      </w:pPr>
      <w:r w:rsidRPr="00215FD0">
        <w:t>Standard 1:  Credit for Prior Learning</w:t>
      </w:r>
    </w:p>
    <w:p w:rsidR="00D43F74" w:rsidRPr="00215FD0" w:rsidRDefault="00D43F74" w:rsidP="00D43F74">
      <w:pPr>
        <w:pStyle w:val="ListParagraph"/>
        <w:numPr>
          <w:ilvl w:val="0"/>
          <w:numId w:val="1"/>
        </w:numPr>
        <w:shd w:val="clear" w:color="auto" w:fill="FFFFFF"/>
      </w:pPr>
      <w:r w:rsidRPr="00215FD0">
        <w:t xml:space="preserve">Standard 2: </w:t>
      </w:r>
      <w:r w:rsidR="000457A3">
        <w:t xml:space="preserve"> </w:t>
      </w:r>
      <w:r w:rsidRPr="00215FD0">
        <w:t>Evidence-Based Assessment</w:t>
      </w:r>
    </w:p>
    <w:p w:rsidR="00D43F74" w:rsidRPr="00215FD0" w:rsidRDefault="00D43F74" w:rsidP="00D43F74">
      <w:pPr>
        <w:pStyle w:val="ListParagraph"/>
        <w:numPr>
          <w:ilvl w:val="0"/>
          <w:numId w:val="1"/>
        </w:numPr>
        <w:shd w:val="clear" w:color="auto" w:fill="FFFFFF"/>
      </w:pPr>
      <w:r w:rsidRPr="00215FD0">
        <w:t>Standard 3:  Tuition and Fee Structure</w:t>
      </w:r>
    </w:p>
    <w:p w:rsidR="00D43F74" w:rsidRPr="00215FD0" w:rsidRDefault="00D43F74" w:rsidP="00D43F74">
      <w:pPr>
        <w:pStyle w:val="ListParagraph"/>
        <w:numPr>
          <w:ilvl w:val="0"/>
          <w:numId w:val="1"/>
        </w:numPr>
        <w:shd w:val="clear" w:color="auto" w:fill="FFFFFF"/>
      </w:pPr>
      <w:r w:rsidRPr="00215FD0">
        <w:t xml:space="preserve">Standard 4:  </w:t>
      </w:r>
      <w:r w:rsidR="00C732FD">
        <w:t>Transferability and Transcription</w:t>
      </w:r>
    </w:p>
    <w:p w:rsidR="00D43F74" w:rsidRPr="00215FD0" w:rsidRDefault="00D43F74" w:rsidP="00D43F74">
      <w:pPr>
        <w:pStyle w:val="ListParagraph"/>
        <w:numPr>
          <w:ilvl w:val="0"/>
          <w:numId w:val="1"/>
        </w:numPr>
        <w:shd w:val="clear" w:color="auto" w:fill="FFFFFF"/>
      </w:pPr>
      <w:r w:rsidRPr="00215FD0">
        <w:t xml:space="preserve">Standard 5:  Data Collection and Reporting </w:t>
      </w:r>
    </w:p>
    <w:p w:rsidR="00D43F74" w:rsidRPr="00215FD0" w:rsidRDefault="00D43F74" w:rsidP="00D43F74">
      <w:pPr>
        <w:pStyle w:val="ListParagraph"/>
        <w:numPr>
          <w:ilvl w:val="0"/>
          <w:numId w:val="1"/>
        </w:numPr>
        <w:shd w:val="clear" w:color="auto" w:fill="FFFFFF"/>
      </w:pPr>
      <w:r w:rsidRPr="00215FD0">
        <w:t>Standard 6:  Faculty and Staff Development</w:t>
      </w:r>
    </w:p>
    <w:p w:rsidR="00D43F74" w:rsidRPr="00215FD0" w:rsidRDefault="00D43F74" w:rsidP="00D43F74">
      <w:pPr>
        <w:pStyle w:val="ListParagraph"/>
        <w:numPr>
          <w:ilvl w:val="0"/>
          <w:numId w:val="1"/>
        </w:numPr>
        <w:shd w:val="clear" w:color="auto" w:fill="FFFFFF"/>
      </w:pPr>
      <w:r w:rsidRPr="00215FD0">
        <w:t xml:space="preserve">Standard 7:  </w:t>
      </w:r>
      <w:r w:rsidR="00EB08CB" w:rsidRPr="00215FD0">
        <w:t>Oversight</w:t>
      </w:r>
    </w:p>
    <w:p w:rsidR="00D43F74" w:rsidRDefault="00D43F74" w:rsidP="00D43F74">
      <w:pPr>
        <w:pStyle w:val="ListParagraph"/>
        <w:numPr>
          <w:ilvl w:val="0"/>
          <w:numId w:val="1"/>
        </w:numPr>
        <w:shd w:val="clear" w:color="auto" w:fill="FFFFFF"/>
      </w:pPr>
      <w:r w:rsidRPr="00215FD0">
        <w:t>Standard 8:  Transparency/Access</w:t>
      </w:r>
    </w:p>
    <w:p w:rsidR="002B3FF2" w:rsidRDefault="002B3FF2" w:rsidP="002B3FF2">
      <w:pPr>
        <w:pStyle w:val="ListParagraph"/>
        <w:shd w:val="clear" w:color="auto" w:fill="FFFFFF"/>
        <w:ind w:left="1440"/>
      </w:pPr>
    </w:p>
    <w:p w:rsidR="00D602E8" w:rsidRPr="00215FD0" w:rsidRDefault="00D602E8" w:rsidP="002B3FF2">
      <w:pPr>
        <w:pStyle w:val="ListParagraph"/>
        <w:shd w:val="clear" w:color="auto" w:fill="FFFFFF"/>
        <w:ind w:left="1440"/>
      </w:pPr>
    </w:p>
    <w:p w:rsidR="00D43F74" w:rsidRPr="00215FD0" w:rsidRDefault="00D43F74" w:rsidP="00D43F74">
      <w:pPr>
        <w:jc w:val="center"/>
        <w:rPr>
          <w:b/>
        </w:rPr>
      </w:pPr>
      <w:r w:rsidRPr="00215FD0">
        <w:rPr>
          <w:b/>
        </w:rPr>
        <w:t>Higher Education Coordinating Commission</w:t>
      </w:r>
    </w:p>
    <w:p w:rsidR="00D43F74" w:rsidRPr="00215FD0" w:rsidRDefault="00D43F74" w:rsidP="00D43F74">
      <w:pPr>
        <w:jc w:val="center"/>
        <w:rPr>
          <w:b/>
        </w:rPr>
      </w:pPr>
      <w:r w:rsidRPr="00215FD0">
        <w:rPr>
          <w:b/>
        </w:rPr>
        <w:t xml:space="preserve">Credit for Prior Learning Standards </w:t>
      </w:r>
    </w:p>
    <w:p w:rsidR="00D43F74" w:rsidRPr="00215FD0" w:rsidRDefault="00D43F74" w:rsidP="00D43F74">
      <w:pPr>
        <w:jc w:val="center"/>
        <w:rPr>
          <w:b/>
          <w:strike/>
          <w:sz w:val="28"/>
          <w:szCs w:val="28"/>
        </w:rPr>
      </w:pPr>
    </w:p>
    <w:p w:rsidR="00D43F74" w:rsidRPr="00215FD0" w:rsidRDefault="00D43F74" w:rsidP="00D43F74">
      <w:pPr>
        <w:rPr>
          <w:b/>
        </w:rPr>
      </w:pPr>
      <w:r w:rsidRPr="00215FD0">
        <w:rPr>
          <w:b/>
        </w:rPr>
        <w:t xml:space="preserve">Standard 1:  Credit for Prior Learning </w:t>
      </w:r>
    </w:p>
    <w:p w:rsidR="00D43F74" w:rsidRPr="00215FD0" w:rsidRDefault="00D43F74" w:rsidP="00D43F74">
      <w:pPr>
        <w:rPr>
          <w:b/>
        </w:rPr>
      </w:pPr>
    </w:p>
    <w:p w:rsidR="00D43F74" w:rsidRDefault="00D43F74" w:rsidP="000457A3">
      <w:pPr>
        <w:pStyle w:val="ListParagraph"/>
        <w:numPr>
          <w:ilvl w:val="1"/>
          <w:numId w:val="10"/>
        </w:numPr>
        <w:tabs>
          <w:tab w:val="left" w:pos="450"/>
          <w:tab w:val="left" w:pos="540"/>
        </w:tabs>
        <w:autoSpaceDE w:val="0"/>
        <w:autoSpaceDN w:val="0"/>
        <w:adjustRightInd w:val="0"/>
      </w:pPr>
      <w:r w:rsidRPr="00215FD0">
        <w:t xml:space="preserve">For those areas in which </w:t>
      </w:r>
      <w:r w:rsidR="007C4148">
        <w:t>CPL</w:t>
      </w:r>
      <w:r w:rsidRPr="00215FD0">
        <w:t xml:space="preserve"> is awarded, Oregon’s postsecondary institutions shall develop institutional policies and procedures for awarding credit in response to the </w:t>
      </w:r>
      <w:r w:rsidR="007C4148">
        <w:t>CPL</w:t>
      </w:r>
      <w:r w:rsidRPr="00215FD0">
        <w:t xml:space="preserve"> Standards. The procedures must ensure </w:t>
      </w:r>
      <w:r w:rsidRPr="000457A3">
        <w:rPr>
          <w:bCs/>
        </w:rPr>
        <w:t xml:space="preserve">credit is awarded only for high quality college-level competencies. </w:t>
      </w:r>
      <w:r w:rsidRPr="00215FD0">
        <w:t xml:space="preserve">The policies and procedures must be transparent to all students, faculty, staff and stakeholders.  </w:t>
      </w:r>
    </w:p>
    <w:p w:rsidR="000457A3" w:rsidRDefault="000457A3" w:rsidP="000457A3">
      <w:pPr>
        <w:pStyle w:val="ListParagraph"/>
        <w:tabs>
          <w:tab w:val="left" w:pos="450"/>
          <w:tab w:val="left" w:pos="540"/>
        </w:tabs>
        <w:autoSpaceDE w:val="0"/>
        <w:autoSpaceDN w:val="0"/>
        <w:adjustRightInd w:val="0"/>
        <w:ind w:left="360"/>
      </w:pPr>
    </w:p>
    <w:p w:rsidR="000457A3" w:rsidRPr="00215FD0" w:rsidRDefault="000457A3" w:rsidP="00975F60">
      <w:pPr>
        <w:pStyle w:val="ListParagraph"/>
        <w:numPr>
          <w:ilvl w:val="1"/>
          <w:numId w:val="10"/>
        </w:numPr>
        <w:tabs>
          <w:tab w:val="left" w:pos="450"/>
          <w:tab w:val="left" w:pos="540"/>
        </w:tabs>
        <w:autoSpaceDE w:val="0"/>
        <w:autoSpaceDN w:val="0"/>
        <w:adjustRightInd w:val="0"/>
      </w:pPr>
      <w:r w:rsidRPr="00644413">
        <w:rPr>
          <w:rFonts w:eastAsiaTheme="minorHAnsi"/>
        </w:rPr>
        <w:t xml:space="preserve">Academic credit will be awarded and </w:t>
      </w:r>
      <w:proofErr w:type="spellStart"/>
      <w:r w:rsidRPr="00644413">
        <w:rPr>
          <w:rFonts w:eastAsiaTheme="minorHAnsi"/>
        </w:rPr>
        <w:t>transcripted</w:t>
      </w:r>
      <w:proofErr w:type="spellEnd"/>
      <w:r w:rsidRPr="00644413">
        <w:rPr>
          <w:rFonts w:eastAsiaTheme="minorHAnsi"/>
        </w:rPr>
        <w:t xml:space="preserve"> only for those courses </w:t>
      </w:r>
      <w:r>
        <w:rPr>
          <w:rFonts w:eastAsiaTheme="minorHAnsi"/>
        </w:rPr>
        <w:t xml:space="preserve">offered by the institution and </w:t>
      </w:r>
      <w:r w:rsidRPr="00644413">
        <w:rPr>
          <w:rFonts w:eastAsiaTheme="minorHAnsi"/>
        </w:rPr>
        <w:t>directly applicable to curriculum requirements at the college/university of enrollment and to the student’s declared certificate or degree program as outlined in college publications</w:t>
      </w:r>
      <w:r w:rsidR="00892367">
        <w:rPr>
          <w:rFonts w:eastAsiaTheme="minorHAnsi"/>
        </w:rPr>
        <w:t>.</w:t>
      </w:r>
    </w:p>
    <w:p w:rsidR="00D43F74" w:rsidRDefault="00D43F74" w:rsidP="00D43F74"/>
    <w:p w:rsidR="000A003F" w:rsidRDefault="000A003F" w:rsidP="00D43F74">
      <w:pPr>
        <w:rPr>
          <w:rFonts w:eastAsiaTheme="minorHAnsi"/>
          <w:b/>
          <w:i/>
        </w:rPr>
      </w:pPr>
    </w:p>
    <w:p w:rsidR="000947A0" w:rsidRPr="000A003F" w:rsidRDefault="007632BC" w:rsidP="00D43F74">
      <w:pPr>
        <w:rPr>
          <w:rFonts w:eastAsiaTheme="minorHAnsi"/>
          <w:b/>
          <w:i/>
        </w:rPr>
      </w:pPr>
      <w:r w:rsidRPr="000A003F">
        <w:rPr>
          <w:rFonts w:eastAsiaTheme="minorHAnsi"/>
          <w:b/>
          <w:i/>
        </w:rPr>
        <w:t>Please provide comments or institutional feedback regarding this standard:</w:t>
      </w:r>
    </w:p>
    <w:tbl>
      <w:tblPr>
        <w:tblStyle w:val="TableGrid"/>
        <w:tblW w:w="10176" w:type="dxa"/>
        <w:tblInd w:w="135" w:type="dxa"/>
        <w:tblLook w:val="04A0" w:firstRow="1" w:lastRow="0" w:firstColumn="1" w:lastColumn="0" w:noHBand="0" w:noVBand="1"/>
      </w:tblPr>
      <w:tblGrid>
        <w:gridCol w:w="10176"/>
      </w:tblGrid>
      <w:tr w:rsidR="007632BC" w:rsidTr="00A36E40">
        <w:trPr>
          <w:trHeight w:val="1907"/>
        </w:trPr>
        <w:tc>
          <w:tcPr>
            <w:tcW w:w="10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2BC" w:rsidRDefault="007632BC" w:rsidP="007632BC">
            <w:pPr>
              <w:rPr>
                <w:rFonts w:eastAsiaTheme="minorHAnsi"/>
              </w:rPr>
            </w:pPr>
          </w:p>
        </w:tc>
      </w:tr>
    </w:tbl>
    <w:p w:rsidR="007632BC" w:rsidRDefault="007632BC" w:rsidP="00D43F74">
      <w:pPr>
        <w:rPr>
          <w:rFonts w:eastAsiaTheme="minorHAnsi"/>
        </w:rPr>
      </w:pPr>
    </w:p>
    <w:p w:rsidR="000A003F" w:rsidRDefault="000A003F" w:rsidP="00D43F74">
      <w:pPr>
        <w:rPr>
          <w:rFonts w:eastAsiaTheme="minorHAnsi"/>
        </w:rPr>
      </w:pPr>
    </w:p>
    <w:p w:rsidR="00D43F74" w:rsidRPr="00215FD0" w:rsidRDefault="00D43F74" w:rsidP="00D43F74">
      <w:pPr>
        <w:rPr>
          <w:b/>
          <w:u w:val="single"/>
        </w:rPr>
      </w:pPr>
      <w:r w:rsidRPr="00215FD0">
        <w:rPr>
          <w:b/>
          <w:u w:val="single"/>
        </w:rPr>
        <w:t xml:space="preserve">Resources:  </w:t>
      </w:r>
    </w:p>
    <w:p w:rsidR="00D43F74" w:rsidRDefault="00D43F74" w:rsidP="00D43F74">
      <w:pPr>
        <w:spacing w:line="276" w:lineRule="auto"/>
      </w:pPr>
    </w:p>
    <w:p w:rsidR="00413F8B" w:rsidRPr="00975F60" w:rsidRDefault="00413F8B" w:rsidP="00413F8B">
      <w:pPr>
        <w:pStyle w:val="Default"/>
        <w:rPr>
          <w:rFonts w:ascii="Times New Roman" w:hAnsi="Times New Roman" w:cs="Times New Roman"/>
        </w:rPr>
      </w:pPr>
      <w:r w:rsidRPr="00975F60">
        <w:rPr>
          <w:rFonts w:ascii="Times New Roman" w:hAnsi="Times New Roman" w:cs="Times New Roman"/>
        </w:rPr>
        <w:t xml:space="preserve">Tennessee’s Recommended Standards in Prior Learning Assessment (PLA) Policy and Practice for Tennessee Public Colleges and Universities: </w:t>
      </w:r>
    </w:p>
    <w:p w:rsidR="00413F8B" w:rsidRPr="003E4C4B" w:rsidRDefault="00F84B98" w:rsidP="00413F8B">
      <w:pPr>
        <w:tabs>
          <w:tab w:val="left" w:pos="252"/>
        </w:tabs>
      </w:pPr>
      <w:hyperlink r:id="rId10" w:history="1">
        <w:r w:rsidR="00413F8B" w:rsidRPr="003E4C4B">
          <w:rPr>
            <w:rStyle w:val="Hyperlink"/>
          </w:rPr>
          <w:t>http://www.insidehighered.com/sites/default/server_files/files/Recommendations%20for%20Standards%20in%20PLA%20-%20Final%20Version%201-1.pdf</w:t>
        </w:r>
      </w:hyperlink>
    </w:p>
    <w:p w:rsidR="00413F8B" w:rsidRPr="00215FD0" w:rsidRDefault="00413F8B" w:rsidP="00D43F74">
      <w:pPr>
        <w:spacing w:line="276" w:lineRule="auto"/>
      </w:pPr>
    </w:p>
    <w:p w:rsidR="00D43F74" w:rsidRPr="00644413" w:rsidRDefault="00834CC3" w:rsidP="00834CC3">
      <w:pPr>
        <w:spacing w:line="276" w:lineRule="auto"/>
      </w:pPr>
      <w:r w:rsidRPr="00644413">
        <w:rPr>
          <w:rFonts w:eastAsiaTheme="minorHAnsi"/>
          <w:color w:val="000000"/>
        </w:rPr>
        <w:t xml:space="preserve">Oregon’s Statewide International Baccalaureate Alignment Policy </w:t>
      </w:r>
      <w:proofErr w:type="gramStart"/>
      <w:r w:rsidRPr="00644413">
        <w:rPr>
          <w:rFonts w:eastAsiaTheme="minorHAnsi"/>
          <w:color w:val="000000"/>
        </w:rPr>
        <w:t>for the 2013-14 Academic Year</w:t>
      </w:r>
      <w:proofErr w:type="gramEnd"/>
      <w:r w:rsidRPr="00644413">
        <w:rPr>
          <w:rFonts w:eastAsiaTheme="minorHAnsi"/>
          <w:color w:val="000000"/>
        </w:rPr>
        <w:t xml:space="preserve">: </w:t>
      </w:r>
    </w:p>
    <w:p w:rsidR="00834CC3" w:rsidRPr="00644413" w:rsidRDefault="00F84B98" w:rsidP="00D43F74">
      <w:pPr>
        <w:spacing w:line="276" w:lineRule="auto"/>
      </w:pPr>
      <w:hyperlink r:id="rId11" w:history="1">
        <w:r w:rsidR="00834CC3" w:rsidRPr="00644413">
          <w:rPr>
            <w:rStyle w:val="Hyperlink"/>
          </w:rPr>
          <w:t>http://www.ous.edu/sites/default/files/partner/k12/IBCourseCredit2013_14_Final.pdf</w:t>
        </w:r>
      </w:hyperlink>
    </w:p>
    <w:p w:rsidR="00834CC3" w:rsidRPr="00644413" w:rsidRDefault="00834CC3" w:rsidP="00D43F74">
      <w:pPr>
        <w:spacing w:line="276" w:lineRule="auto"/>
      </w:pPr>
    </w:p>
    <w:p w:rsidR="00644413" w:rsidRPr="00644413" w:rsidRDefault="00644413" w:rsidP="00D43F74">
      <w:pPr>
        <w:spacing w:line="276" w:lineRule="auto"/>
      </w:pPr>
      <w:r w:rsidRPr="00644413">
        <w:t xml:space="preserve">Oregon’s Advanced Placement Course Credit </w:t>
      </w:r>
      <w:proofErr w:type="gramStart"/>
      <w:r w:rsidRPr="00644413">
        <w:t>for the 2013-14 Academic Year</w:t>
      </w:r>
      <w:proofErr w:type="gramEnd"/>
      <w:r w:rsidRPr="00644413">
        <w:t xml:space="preserve">: </w:t>
      </w:r>
    </w:p>
    <w:p w:rsidR="00644413" w:rsidRPr="00644413" w:rsidRDefault="00F84B98" w:rsidP="00D43F74">
      <w:pPr>
        <w:spacing w:line="276" w:lineRule="auto"/>
      </w:pPr>
      <w:hyperlink r:id="rId12" w:history="1">
        <w:r w:rsidR="00644413" w:rsidRPr="00644413">
          <w:rPr>
            <w:rStyle w:val="Hyperlink"/>
          </w:rPr>
          <w:t>http://www.ous.edu/sites/default/files/partner/k12/APCourseCredit2013_14_Final.pdf</w:t>
        </w:r>
      </w:hyperlink>
    </w:p>
    <w:p w:rsidR="00644413" w:rsidRDefault="00644413" w:rsidP="00D43F74">
      <w:pPr>
        <w:spacing w:line="276" w:lineRule="auto"/>
      </w:pPr>
    </w:p>
    <w:p w:rsidR="00D43F74" w:rsidRPr="00215FD0" w:rsidRDefault="00D43F74" w:rsidP="00D43F74">
      <w:pPr>
        <w:spacing w:line="276" w:lineRule="auto"/>
      </w:pPr>
    </w:p>
    <w:p w:rsidR="00D43F74" w:rsidRPr="00215FD0" w:rsidRDefault="00D43F74" w:rsidP="00D43F74">
      <w:pPr>
        <w:spacing w:line="276" w:lineRule="auto"/>
      </w:pPr>
    </w:p>
    <w:p w:rsidR="00D43F74" w:rsidRPr="00215FD0" w:rsidRDefault="00D43F74" w:rsidP="00D43F74">
      <w:r w:rsidRPr="00215FD0">
        <w:br w:type="page"/>
      </w:r>
    </w:p>
    <w:p w:rsidR="00D43F74" w:rsidRPr="00215FD0" w:rsidRDefault="00D43F74" w:rsidP="00D43F74">
      <w:pPr>
        <w:jc w:val="center"/>
        <w:rPr>
          <w:b/>
        </w:rPr>
      </w:pPr>
      <w:r w:rsidRPr="00215FD0">
        <w:rPr>
          <w:b/>
        </w:rPr>
        <w:lastRenderedPageBreak/>
        <w:t>Higher Education Coordinating Commission</w:t>
      </w:r>
    </w:p>
    <w:p w:rsidR="00D43F74" w:rsidRPr="00215FD0" w:rsidRDefault="00D43F74" w:rsidP="00D43F74">
      <w:pPr>
        <w:jc w:val="center"/>
        <w:rPr>
          <w:b/>
        </w:rPr>
      </w:pPr>
      <w:r w:rsidRPr="00215FD0">
        <w:rPr>
          <w:b/>
        </w:rPr>
        <w:t xml:space="preserve">Credit for Prior Learning Standards </w:t>
      </w:r>
    </w:p>
    <w:p w:rsidR="00D43F74" w:rsidRPr="00215FD0" w:rsidRDefault="00D43F74" w:rsidP="00D43F74">
      <w:pPr>
        <w:jc w:val="center"/>
        <w:rPr>
          <w:b/>
          <w:sz w:val="28"/>
          <w:szCs w:val="28"/>
        </w:rPr>
      </w:pPr>
    </w:p>
    <w:p w:rsidR="00D43F74" w:rsidRDefault="00D43F74" w:rsidP="00D43F74">
      <w:pPr>
        <w:rPr>
          <w:b/>
        </w:rPr>
      </w:pPr>
      <w:r w:rsidRPr="00531FA2">
        <w:rPr>
          <w:b/>
        </w:rPr>
        <w:t>Standard 2: Evidence-Based Assessment</w:t>
      </w:r>
    </w:p>
    <w:p w:rsidR="00D3359D" w:rsidRPr="00531FA2" w:rsidRDefault="00D3359D" w:rsidP="00D43F74">
      <w:pPr>
        <w:rPr>
          <w:b/>
        </w:rPr>
      </w:pPr>
    </w:p>
    <w:p w:rsidR="00D3359D" w:rsidRDefault="00D3359D" w:rsidP="00975F60">
      <w:pPr>
        <w:pStyle w:val="NormalWeb"/>
        <w:shd w:val="clear" w:color="auto" w:fill="FFFFFF"/>
        <w:spacing w:before="0" w:beforeAutospacing="0" w:after="0" w:afterAutospacing="0"/>
        <w:ind w:left="450" w:hanging="450"/>
        <w:rPr>
          <w:shd w:val="clear" w:color="auto" w:fill="FFFFFF"/>
        </w:rPr>
      </w:pPr>
      <w:r>
        <w:rPr>
          <w:color w:val="222222"/>
          <w:shd w:val="clear" w:color="auto" w:fill="FFFFFF"/>
        </w:rPr>
        <w:t xml:space="preserve">2.1 </w:t>
      </w:r>
      <w:r w:rsidRPr="00FB10D3">
        <w:rPr>
          <w:shd w:val="clear" w:color="auto" w:fill="FFFFFF"/>
        </w:rPr>
        <w:t>Institutions shall provide a guided process to assist students with organizing their documents for evaluation.</w:t>
      </w:r>
    </w:p>
    <w:p w:rsidR="00740E5A" w:rsidRDefault="00740E5A" w:rsidP="00975F60">
      <w:pPr>
        <w:pStyle w:val="NormalWeb"/>
        <w:shd w:val="clear" w:color="auto" w:fill="FFFFFF"/>
        <w:spacing w:before="0" w:beforeAutospacing="0" w:after="0" w:afterAutospacing="0"/>
        <w:ind w:left="450" w:hanging="450"/>
        <w:rPr>
          <w:shd w:val="clear" w:color="auto" w:fill="FFFFFF"/>
        </w:rPr>
      </w:pPr>
    </w:p>
    <w:p w:rsidR="00FB10D3" w:rsidRPr="00FB10D3" w:rsidRDefault="00FB10D3" w:rsidP="00975F60">
      <w:pPr>
        <w:pStyle w:val="NormalWeb"/>
        <w:shd w:val="clear" w:color="auto" w:fill="FFFFFF"/>
        <w:spacing w:before="0" w:beforeAutospacing="0" w:after="0" w:afterAutospacing="0"/>
        <w:ind w:left="450" w:hanging="450"/>
        <w:rPr>
          <w:shd w:val="clear" w:color="auto" w:fill="FFFFFF"/>
        </w:rPr>
      </w:pPr>
      <w:r w:rsidRPr="00FB10D3">
        <w:rPr>
          <w:shd w:val="clear" w:color="auto" w:fill="FFFFFF"/>
        </w:rPr>
        <w:t>2.</w:t>
      </w:r>
      <w:r w:rsidR="00D3359D">
        <w:rPr>
          <w:shd w:val="clear" w:color="auto" w:fill="FFFFFF"/>
        </w:rPr>
        <w:t>2</w:t>
      </w:r>
      <w:r w:rsidRPr="00FB10D3">
        <w:rPr>
          <w:shd w:val="clear" w:color="auto" w:fill="FFFFFF"/>
        </w:rPr>
        <w:t xml:space="preserve">  </w:t>
      </w:r>
      <w:r w:rsidRPr="00FB10D3">
        <w:rPr>
          <w:shd w:val="clear" w:color="auto" w:fill="FFFFFF"/>
        </w:rPr>
        <w:tab/>
      </w:r>
      <w:r w:rsidR="00D3359D">
        <w:rPr>
          <w:shd w:val="clear" w:color="auto" w:fill="FFFFFF"/>
        </w:rPr>
        <w:t xml:space="preserve"> All</w:t>
      </w:r>
      <w:r w:rsidRPr="00FB10D3">
        <w:rPr>
          <w:shd w:val="clear" w:color="auto" w:fill="FFFFFF"/>
        </w:rPr>
        <w:t xml:space="preserve"> credit must be based on sufficient evidence provided by the student </w:t>
      </w:r>
      <w:r w:rsidR="002833ED">
        <w:rPr>
          <w:shd w:val="clear" w:color="auto" w:fill="FFFFFF"/>
        </w:rPr>
        <w:t xml:space="preserve">and/or the institution. </w:t>
      </w:r>
      <w:r w:rsidR="00001D05" w:rsidRPr="00D602E8">
        <w:rPr>
          <w:shd w:val="clear" w:color="auto" w:fill="FFFFFF"/>
        </w:rPr>
        <w:t xml:space="preserve">All evidence must be </w:t>
      </w:r>
      <w:r w:rsidR="00001D05">
        <w:rPr>
          <w:color w:val="000000"/>
          <w:shd w:val="clear" w:color="auto" w:fill="FFFFFF"/>
        </w:rPr>
        <w:t>reviewed by the institution to document the credit awarded. </w:t>
      </w:r>
      <w:r w:rsidRPr="00FB10D3">
        <w:rPr>
          <w:shd w:val="clear" w:color="auto" w:fill="FFFFFF"/>
        </w:rPr>
        <w:t xml:space="preserve"> </w:t>
      </w:r>
      <w:r w:rsidR="00D3359D">
        <w:rPr>
          <w:shd w:val="clear" w:color="auto" w:fill="FFFFFF"/>
        </w:rPr>
        <w:t>T</w:t>
      </w:r>
      <w:r w:rsidRPr="00FB10D3">
        <w:rPr>
          <w:shd w:val="clear" w:color="auto" w:fill="FFFFFF"/>
        </w:rPr>
        <w:t>he studen</w:t>
      </w:r>
      <w:r w:rsidR="00D602E8">
        <w:rPr>
          <w:shd w:val="clear" w:color="auto" w:fill="FFFFFF"/>
        </w:rPr>
        <w:t>t</w:t>
      </w:r>
      <w:r w:rsidR="00D3359D">
        <w:rPr>
          <w:shd w:val="clear" w:color="auto" w:fill="FFFFFF"/>
        </w:rPr>
        <w:t xml:space="preserve"> must </w:t>
      </w:r>
      <w:r w:rsidRPr="00FB10D3">
        <w:rPr>
          <w:shd w:val="clear" w:color="auto" w:fill="FFFFFF"/>
        </w:rPr>
        <w:t xml:space="preserve">articulate and document </w:t>
      </w:r>
      <w:r w:rsidR="00E206E9">
        <w:rPr>
          <w:shd w:val="clear" w:color="auto" w:fill="FFFFFF"/>
        </w:rPr>
        <w:t xml:space="preserve">the connection between </w:t>
      </w:r>
      <w:r w:rsidRPr="00FB10D3">
        <w:rPr>
          <w:shd w:val="clear" w:color="auto" w:fill="FFFFFF"/>
        </w:rPr>
        <w:t xml:space="preserve">what they </w:t>
      </w:r>
      <w:r w:rsidR="00A30548">
        <w:rPr>
          <w:shd w:val="clear" w:color="auto" w:fill="FFFFFF"/>
        </w:rPr>
        <w:t>have learned in another setting</w:t>
      </w:r>
      <w:r w:rsidRPr="00FB10D3">
        <w:rPr>
          <w:shd w:val="clear" w:color="auto" w:fill="FFFFFF"/>
        </w:rPr>
        <w:t xml:space="preserve"> </w:t>
      </w:r>
      <w:r w:rsidR="00D3359D">
        <w:rPr>
          <w:shd w:val="clear" w:color="auto" w:fill="FFFFFF"/>
        </w:rPr>
        <w:t xml:space="preserve">and </w:t>
      </w:r>
      <w:r w:rsidRPr="00FB10D3">
        <w:rPr>
          <w:shd w:val="clear" w:color="auto" w:fill="FFFFFF"/>
        </w:rPr>
        <w:t xml:space="preserve">the theoretical foundation, knowledge, and skills </w:t>
      </w:r>
      <w:r w:rsidR="00D3359D">
        <w:rPr>
          <w:shd w:val="clear" w:color="auto" w:fill="FFFFFF"/>
        </w:rPr>
        <w:t>as defined by the course-specific learning outcomes</w:t>
      </w:r>
      <w:r w:rsidR="00B33869">
        <w:rPr>
          <w:shd w:val="clear" w:color="auto" w:fill="FFFFFF"/>
        </w:rPr>
        <w:t xml:space="preserve"> </w:t>
      </w:r>
      <w:r w:rsidRPr="00FB10D3">
        <w:rPr>
          <w:shd w:val="clear" w:color="auto" w:fill="FFFFFF"/>
        </w:rPr>
        <w:t>of the credit to be awarded.</w:t>
      </w:r>
    </w:p>
    <w:p w:rsidR="00FB10D3" w:rsidRDefault="00FB10D3" w:rsidP="00FB10D3">
      <w:pPr>
        <w:ind w:left="450" w:hanging="450"/>
      </w:pPr>
    </w:p>
    <w:p w:rsidR="00FB10D3" w:rsidRDefault="00FB10D3" w:rsidP="00FB10D3">
      <w:pPr>
        <w:ind w:left="450" w:hanging="450"/>
        <w:rPr>
          <w:shd w:val="clear" w:color="auto" w:fill="FFFFFF"/>
        </w:rPr>
      </w:pPr>
      <w:r w:rsidRPr="00FB10D3">
        <w:rPr>
          <w:shd w:val="clear" w:color="auto" w:fill="FFFFFF"/>
        </w:rPr>
        <w:t>2.</w:t>
      </w:r>
      <w:r w:rsidR="00D3359D">
        <w:rPr>
          <w:shd w:val="clear" w:color="auto" w:fill="FFFFFF"/>
        </w:rPr>
        <w:t>3</w:t>
      </w:r>
      <w:r w:rsidRPr="00FB10D3">
        <w:rPr>
          <w:shd w:val="clear" w:color="auto" w:fill="FFFFFF"/>
        </w:rPr>
        <w:tab/>
      </w:r>
      <w:r w:rsidR="009C352E">
        <w:rPr>
          <w:shd w:val="clear" w:color="auto" w:fill="FFFFFF"/>
        </w:rPr>
        <w:t>Evide</w:t>
      </w:r>
      <w:r w:rsidR="00D602E8">
        <w:rPr>
          <w:shd w:val="clear" w:color="auto" w:fill="FFFFFF"/>
        </w:rPr>
        <w:t xml:space="preserve">nce </w:t>
      </w:r>
      <w:r w:rsidR="00D3359D">
        <w:rPr>
          <w:shd w:val="clear" w:color="auto" w:fill="FFFFFF"/>
        </w:rPr>
        <w:t xml:space="preserve">required </w:t>
      </w:r>
      <w:r w:rsidR="00D602E8">
        <w:rPr>
          <w:shd w:val="clear" w:color="auto" w:fill="FFFFFF"/>
        </w:rPr>
        <w:t>by the institution</w:t>
      </w:r>
      <w:r w:rsidRPr="00FB10D3">
        <w:rPr>
          <w:shd w:val="clear" w:color="auto" w:fill="FFFFFF"/>
        </w:rPr>
        <w:t xml:space="preserve"> must be based on nationally recognized</w:t>
      </w:r>
      <w:r w:rsidR="00D3359D">
        <w:rPr>
          <w:shd w:val="clear" w:color="auto" w:fill="FFFFFF"/>
        </w:rPr>
        <w:t xml:space="preserve"> CPL</w:t>
      </w:r>
      <w:r w:rsidRPr="00FB10D3">
        <w:rPr>
          <w:shd w:val="clear" w:color="auto" w:fill="FFFFFF"/>
        </w:rPr>
        <w:t xml:space="preserve"> assessment </w:t>
      </w:r>
      <w:r w:rsidR="009C352E">
        <w:rPr>
          <w:shd w:val="clear" w:color="auto" w:fill="FFFFFF"/>
        </w:rPr>
        <w:t>methods</w:t>
      </w:r>
      <w:r w:rsidR="00D3359D">
        <w:rPr>
          <w:shd w:val="clear" w:color="auto" w:fill="FFFFFF"/>
        </w:rPr>
        <w:t>.</w:t>
      </w:r>
      <w:r w:rsidR="009C352E">
        <w:rPr>
          <w:shd w:val="clear" w:color="auto" w:fill="FFFFFF"/>
        </w:rPr>
        <w:t xml:space="preserve"> </w:t>
      </w:r>
      <w:r w:rsidRPr="00FB10D3">
        <w:rPr>
          <w:shd w:val="clear" w:color="auto" w:fill="FFFFFF"/>
        </w:rPr>
        <w:t xml:space="preserve">Multiple assessment processes/tools may be used to determine the amount of credit awarded, including, but not limited to, institutionally developed tests or final examinations, performance-based assessments, demonstrations, presentations, portfolios, and industry certifications. </w:t>
      </w:r>
    </w:p>
    <w:p w:rsidR="00D3359D" w:rsidRDefault="00D3359D" w:rsidP="00FB10D3">
      <w:pPr>
        <w:ind w:left="450" w:hanging="450"/>
        <w:rPr>
          <w:shd w:val="clear" w:color="auto" w:fill="FFFFFF"/>
        </w:rPr>
      </w:pPr>
    </w:p>
    <w:p w:rsidR="00FB10D3" w:rsidRPr="00FB10D3" w:rsidRDefault="00FB10D3" w:rsidP="00FB10D3">
      <w:pPr>
        <w:ind w:left="450" w:hanging="450"/>
      </w:pPr>
      <w:proofErr w:type="gramStart"/>
      <w:r w:rsidRPr="00FB10D3">
        <w:rPr>
          <w:shd w:val="clear" w:color="auto" w:fill="FFFFFF"/>
        </w:rPr>
        <w:t>2.</w:t>
      </w:r>
      <w:r w:rsidR="00D3359D">
        <w:rPr>
          <w:shd w:val="clear" w:color="auto" w:fill="FFFFFF"/>
        </w:rPr>
        <w:t xml:space="preserve">4  </w:t>
      </w:r>
      <w:r w:rsidRPr="00FB10D3">
        <w:rPr>
          <w:shd w:val="clear" w:color="auto" w:fill="FFFFFF"/>
        </w:rPr>
        <w:t>Credit</w:t>
      </w:r>
      <w:proofErr w:type="gramEnd"/>
      <w:r w:rsidRPr="00FB10D3">
        <w:rPr>
          <w:shd w:val="clear" w:color="auto" w:fill="FFFFFF"/>
        </w:rPr>
        <w:t xml:space="preserve"> awarded shall be evaluated by appropriately qualified faculty to determine the amount of credit to be awarded. </w:t>
      </w:r>
    </w:p>
    <w:p w:rsidR="00A36E40" w:rsidRDefault="00A36E40" w:rsidP="00A36E40"/>
    <w:p w:rsidR="000A003F" w:rsidRDefault="000A003F" w:rsidP="00A36E40"/>
    <w:p w:rsidR="00A36E40" w:rsidRPr="000A003F" w:rsidRDefault="00A36E40" w:rsidP="00A36E40">
      <w:pPr>
        <w:rPr>
          <w:rFonts w:eastAsiaTheme="minorHAnsi"/>
          <w:b/>
          <w:i/>
        </w:rPr>
      </w:pPr>
      <w:r w:rsidRPr="000A003F">
        <w:rPr>
          <w:rFonts w:eastAsiaTheme="minorHAnsi"/>
          <w:b/>
          <w:i/>
        </w:rPr>
        <w:t>Please provide comments or institutional feedback regarding this standard:</w:t>
      </w:r>
    </w:p>
    <w:tbl>
      <w:tblPr>
        <w:tblStyle w:val="TableGrid"/>
        <w:tblW w:w="10176" w:type="dxa"/>
        <w:tblInd w:w="135" w:type="dxa"/>
        <w:tblLook w:val="04A0" w:firstRow="1" w:lastRow="0" w:firstColumn="1" w:lastColumn="0" w:noHBand="0" w:noVBand="1"/>
      </w:tblPr>
      <w:tblGrid>
        <w:gridCol w:w="10176"/>
      </w:tblGrid>
      <w:tr w:rsidR="00A36E40" w:rsidTr="001A4D3A">
        <w:trPr>
          <w:trHeight w:val="1907"/>
        </w:trPr>
        <w:tc>
          <w:tcPr>
            <w:tcW w:w="10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6E40" w:rsidRDefault="00A36E40" w:rsidP="001A4D3A">
            <w:pPr>
              <w:rPr>
                <w:rFonts w:eastAsiaTheme="minorHAnsi"/>
              </w:rPr>
            </w:pPr>
          </w:p>
        </w:tc>
      </w:tr>
    </w:tbl>
    <w:p w:rsidR="00A36E40" w:rsidRDefault="00A36E40" w:rsidP="00A36E40">
      <w:pPr>
        <w:rPr>
          <w:rFonts w:eastAsiaTheme="minorHAnsi"/>
        </w:rPr>
      </w:pPr>
    </w:p>
    <w:p w:rsidR="000A003F" w:rsidRDefault="000A003F" w:rsidP="00A36E40">
      <w:pPr>
        <w:rPr>
          <w:rFonts w:eastAsiaTheme="minorHAnsi"/>
        </w:rPr>
      </w:pPr>
    </w:p>
    <w:p w:rsidR="00D43F74" w:rsidRPr="00215FD0" w:rsidRDefault="00D43F74" w:rsidP="00D43F74">
      <w:pPr>
        <w:rPr>
          <w:b/>
          <w:u w:val="single"/>
        </w:rPr>
      </w:pPr>
      <w:r w:rsidRPr="00215FD0">
        <w:rPr>
          <w:b/>
          <w:u w:val="single"/>
        </w:rPr>
        <w:t xml:space="preserve">Resources:  </w:t>
      </w:r>
    </w:p>
    <w:p w:rsidR="00834CC3" w:rsidRDefault="00834CC3" w:rsidP="00D43F74">
      <w:pPr>
        <w:spacing w:line="276" w:lineRule="auto"/>
      </w:pPr>
    </w:p>
    <w:p w:rsidR="003E4C4B" w:rsidRPr="000A6520" w:rsidRDefault="003E4C4B" w:rsidP="003E4C4B">
      <w:pPr>
        <w:pStyle w:val="Default"/>
        <w:rPr>
          <w:rFonts w:ascii="Times New Roman" w:hAnsi="Times New Roman" w:cs="Times New Roman"/>
        </w:rPr>
      </w:pPr>
      <w:r w:rsidRPr="000A6520">
        <w:rPr>
          <w:rFonts w:ascii="Times New Roman" w:hAnsi="Times New Roman" w:cs="Times New Roman"/>
        </w:rPr>
        <w:t xml:space="preserve">Tennessee’s Recommended Standards in Prior Learning Assessment (PLA) Policy and Practice for Tennessee Public Colleges and Universities: </w:t>
      </w:r>
    </w:p>
    <w:p w:rsidR="003E4C4B" w:rsidRPr="003E4C4B" w:rsidRDefault="00F84B98" w:rsidP="003E4C4B">
      <w:pPr>
        <w:tabs>
          <w:tab w:val="left" w:pos="252"/>
        </w:tabs>
      </w:pPr>
      <w:hyperlink r:id="rId13" w:history="1">
        <w:r w:rsidR="003E4C4B" w:rsidRPr="000A6520">
          <w:rPr>
            <w:rStyle w:val="Hyperlink"/>
          </w:rPr>
          <w:t>http://www.insidehighered.com/sites/default/server_files/files/Recommendations%20for%20Standards%20in%20PLA%20-%20Final%20Version%201-1.pdf</w:t>
        </w:r>
      </w:hyperlink>
    </w:p>
    <w:p w:rsidR="003E4C4B" w:rsidRDefault="003E4C4B" w:rsidP="00D43F74">
      <w:pPr>
        <w:spacing w:line="276" w:lineRule="auto"/>
      </w:pPr>
    </w:p>
    <w:p w:rsidR="00531FA2" w:rsidRPr="00531FA2" w:rsidRDefault="00531FA2" w:rsidP="00D43F74">
      <w:pPr>
        <w:rPr>
          <w:color w:val="222222"/>
          <w:shd w:val="clear" w:color="auto" w:fill="FFFFFF"/>
        </w:rPr>
      </w:pPr>
      <w:r w:rsidRPr="00531FA2">
        <w:rPr>
          <w:color w:val="222222"/>
          <w:shd w:val="clear" w:color="auto" w:fill="FFFFFF"/>
        </w:rPr>
        <w:t xml:space="preserve">Marylhurst University Prior Learning Assessment: </w:t>
      </w:r>
    </w:p>
    <w:p w:rsidR="00D43F74" w:rsidRPr="00215FD0" w:rsidRDefault="00F84B98" w:rsidP="00D43F74">
      <w:pPr>
        <w:rPr>
          <w:b/>
        </w:rPr>
      </w:pPr>
      <w:hyperlink r:id="rId14" w:history="1">
        <w:r w:rsidR="00531FA2" w:rsidRPr="00531FA2">
          <w:rPr>
            <w:rStyle w:val="Hyperlink"/>
            <w:shd w:val="clear" w:color="auto" w:fill="FFFFFF"/>
          </w:rPr>
          <w:t>http://www.marylhurst.edu/academics/prior-learning-assessment/</w:t>
        </w:r>
      </w:hyperlink>
      <w:r w:rsidR="00D43F74" w:rsidRPr="00215FD0">
        <w:rPr>
          <w:b/>
        </w:rPr>
        <w:br w:type="page"/>
      </w:r>
    </w:p>
    <w:p w:rsidR="00D43F74" w:rsidRPr="00215FD0" w:rsidRDefault="00D43F74" w:rsidP="00D43F74">
      <w:pPr>
        <w:jc w:val="center"/>
        <w:rPr>
          <w:b/>
        </w:rPr>
      </w:pPr>
      <w:r w:rsidRPr="00215FD0">
        <w:rPr>
          <w:b/>
        </w:rPr>
        <w:lastRenderedPageBreak/>
        <w:t>Higher Education Coordinating Commission</w:t>
      </w:r>
    </w:p>
    <w:p w:rsidR="00D43F74" w:rsidRPr="00215FD0" w:rsidRDefault="00D43F74" w:rsidP="00D43F74">
      <w:pPr>
        <w:jc w:val="center"/>
        <w:rPr>
          <w:b/>
        </w:rPr>
      </w:pPr>
      <w:r w:rsidRPr="00215FD0">
        <w:rPr>
          <w:b/>
        </w:rPr>
        <w:t xml:space="preserve">Credit for Prior Learning Standards </w:t>
      </w:r>
    </w:p>
    <w:p w:rsidR="00D43F74" w:rsidRPr="00215FD0" w:rsidRDefault="00D43F74" w:rsidP="00D43F74">
      <w:pPr>
        <w:jc w:val="center"/>
        <w:rPr>
          <w:b/>
          <w:sz w:val="28"/>
          <w:szCs w:val="28"/>
        </w:rPr>
      </w:pPr>
    </w:p>
    <w:p w:rsidR="00D43F74" w:rsidRPr="00215FD0" w:rsidRDefault="00D43F74" w:rsidP="00D43F74">
      <w:pPr>
        <w:rPr>
          <w:b/>
        </w:rPr>
      </w:pPr>
      <w:r w:rsidRPr="00215FD0">
        <w:rPr>
          <w:b/>
        </w:rPr>
        <w:t>Standard 3:  Tuition and Fee Structure</w:t>
      </w:r>
    </w:p>
    <w:p w:rsidR="00D43F74" w:rsidRPr="00215FD0" w:rsidRDefault="00D43F74" w:rsidP="00D43F74">
      <w:pPr>
        <w:rPr>
          <w:b/>
        </w:rPr>
      </w:pPr>
    </w:p>
    <w:p w:rsidR="00D43F74" w:rsidRPr="00215FD0" w:rsidRDefault="00D43F74" w:rsidP="00EB08CB">
      <w:r w:rsidRPr="00215FD0">
        <w:t xml:space="preserve">Oregon’s postsecondary institutions shall develop </w:t>
      </w:r>
      <w:r w:rsidR="00B33869">
        <w:t>a</w:t>
      </w:r>
      <w:r w:rsidR="003E4C4B">
        <w:t xml:space="preserve"> tuition and fee </w:t>
      </w:r>
      <w:r w:rsidRPr="00215FD0">
        <w:t>structure</w:t>
      </w:r>
      <w:r w:rsidR="003E4C4B">
        <w:t xml:space="preserve"> for CPL that </w:t>
      </w:r>
      <w:proofErr w:type="gramStart"/>
      <w:r w:rsidR="003E4C4B">
        <w:t xml:space="preserve">is </w:t>
      </w:r>
      <w:r w:rsidRPr="00215FD0">
        <w:t xml:space="preserve"> transparent</w:t>
      </w:r>
      <w:proofErr w:type="gramEnd"/>
      <w:r w:rsidRPr="00215FD0">
        <w:t xml:space="preserve"> and accessible to all students, faculty, staff and stakeholders</w:t>
      </w:r>
      <w:r w:rsidR="00045CCA" w:rsidRPr="00215FD0">
        <w:t>.</w:t>
      </w:r>
      <w:r w:rsidRPr="00215FD0">
        <w:t xml:space="preserve"> Institutions should consider the following factors to identify direct and indirect costs related to assessing and awarding credit</w:t>
      </w:r>
      <w:r w:rsidR="003E4C4B">
        <w:t xml:space="preserve"> when determining the tuition and fee structure</w:t>
      </w:r>
      <w:r w:rsidRPr="00215FD0">
        <w:t>:</w:t>
      </w:r>
    </w:p>
    <w:p w:rsidR="00EB08CB" w:rsidRPr="00215FD0" w:rsidRDefault="00EB08CB" w:rsidP="00EB08CB"/>
    <w:p w:rsidR="00EB08CB" w:rsidRPr="00215FD0" w:rsidRDefault="00D43F74" w:rsidP="00EB08CB">
      <w:pPr>
        <w:pStyle w:val="ListParagraph"/>
        <w:numPr>
          <w:ilvl w:val="0"/>
          <w:numId w:val="4"/>
        </w:numPr>
        <w:autoSpaceDE w:val="0"/>
        <w:autoSpaceDN w:val="0"/>
        <w:adjustRightInd w:val="0"/>
        <w:spacing w:line="480" w:lineRule="auto"/>
      </w:pPr>
      <w:r w:rsidRPr="00215FD0">
        <w:t>Costs for student services to guide the student and to support the assessment process;</w:t>
      </w:r>
    </w:p>
    <w:p w:rsidR="00D43F74" w:rsidRPr="00215FD0" w:rsidRDefault="00D43F74" w:rsidP="00EB08CB">
      <w:pPr>
        <w:pStyle w:val="ListParagraph"/>
        <w:numPr>
          <w:ilvl w:val="0"/>
          <w:numId w:val="4"/>
        </w:numPr>
        <w:autoSpaceDE w:val="0"/>
        <w:autoSpaceDN w:val="0"/>
        <w:adjustRightInd w:val="0"/>
        <w:spacing w:line="480" w:lineRule="auto"/>
      </w:pPr>
      <w:r w:rsidRPr="00215FD0">
        <w:t xml:space="preserve">Costs associated with faculty workload for the evaluation of </w:t>
      </w:r>
      <w:r w:rsidR="007C4148">
        <w:t>CPL</w:t>
      </w:r>
      <w:r w:rsidR="00EB08CB" w:rsidRPr="00215FD0">
        <w:t>;</w:t>
      </w:r>
      <w:r w:rsidRPr="00215FD0">
        <w:t xml:space="preserve"> </w:t>
      </w:r>
    </w:p>
    <w:p w:rsidR="00D43F74" w:rsidRDefault="00D43F74" w:rsidP="00D602E8">
      <w:pPr>
        <w:pStyle w:val="ListParagraph"/>
        <w:numPr>
          <w:ilvl w:val="0"/>
          <w:numId w:val="4"/>
        </w:numPr>
        <w:autoSpaceDE w:val="0"/>
        <w:autoSpaceDN w:val="0"/>
        <w:adjustRightInd w:val="0"/>
      </w:pPr>
      <w:r w:rsidRPr="00215FD0">
        <w:t>Costs associated with recognizing and supporting faculty and staff who are involved in the assessment process including any costs related to  training and staff development;</w:t>
      </w:r>
    </w:p>
    <w:p w:rsidR="00D602E8" w:rsidRPr="00215FD0" w:rsidRDefault="00D602E8" w:rsidP="00D602E8">
      <w:pPr>
        <w:pStyle w:val="ListParagraph"/>
        <w:autoSpaceDE w:val="0"/>
        <w:autoSpaceDN w:val="0"/>
        <w:adjustRightInd w:val="0"/>
      </w:pPr>
    </w:p>
    <w:p w:rsidR="00D43F74" w:rsidRPr="00215FD0" w:rsidRDefault="00D43F74" w:rsidP="00EB08CB">
      <w:pPr>
        <w:pStyle w:val="ListParagraph"/>
        <w:numPr>
          <w:ilvl w:val="0"/>
          <w:numId w:val="4"/>
        </w:numPr>
        <w:autoSpaceDE w:val="0"/>
        <w:autoSpaceDN w:val="0"/>
        <w:adjustRightInd w:val="0"/>
        <w:spacing w:line="480" w:lineRule="auto"/>
      </w:pPr>
      <w:r w:rsidRPr="00215FD0">
        <w:t>Costs related to transcribing credit;</w:t>
      </w:r>
    </w:p>
    <w:p w:rsidR="00D43F74" w:rsidRPr="00215FD0" w:rsidRDefault="00D43F74" w:rsidP="00EB08CB">
      <w:pPr>
        <w:pStyle w:val="ListParagraph"/>
        <w:numPr>
          <w:ilvl w:val="0"/>
          <w:numId w:val="4"/>
        </w:numPr>
        <w:autoSpaceDE w:val="0"/>
        <w:autoSpaceDN w:val="0"/>
        <w:adjustRightInd w:val="0"/>
        <w:spacing w:line="480" w:lineRule="auto"/>
      </w:pPr>
      <w:r w:rsidRPr="00215FD0">
        <w:t>Costs for developing portfolio infrastructure and co</w:t>
      </w:r>
      <w:r w:rsidR="00EB08CB" w:rsidRPr="00215FD0">
        <w:t>nducting portfolio assessments; and</w:t>
      </w:r>
    </w:p>
    <w:p w:rsidR="00D43F74" w:rsidRPr="00215FD0" w:rsidRDefault="00D43F74" w:rsidP="00D602E8">
      <w:pPr>
        <w:pStyle w:val="ListParagraph"/>
        <w:numPr>
          <w:ilvl w:val="0"/>
          <w:numId w:val="4"/>
        </w:numPr>
        <w:rPr>
          <w:strike/>
        </w:rPr>
      </w:pPr>
      <w:r w:rsidRPr="00215FD0">
        <w:t xml:space="preserve">Other costs associated with developing and assessing </w:t>
      </w:r>
      <w:r w:rsidR="007C4148">
        <w:t>CPL</w:t>
      </w:r>
      <w:r w:rsidRPr="00215FD0">
        <w:t xml:space="preserve"> such as challenge exams, review of ACE Credit Recommendations, etc. </w:t>
      </w:r>
    </w:p>
    <w:p w:rsidR="00A36E40" w:rsidRDefault="00A36E40" w:rsidP="00A36E40"/>
    <w:p w:rsidR="000A003F" w:rsidRDefault="000A003F" w:rsidP="00A36E40"/>
    <w:p w:rsidR="00A36E40" w:rsidRPr="000A003F" w:rsidRDefault="00A36E40" w:rsidP="00A36E40">
      <w:pPr>
        <w:rPr>
          <w:rFonts w:eastAsiaTheme="minorHAnsi"/>
          <w:b/>
          <w:i/>
        </w:rPr>
      </w:pPr>
      <w:r w:rsidRPr="000A003F">
        <w:rPr>
          <w:rFonts w:eastAsiaTheme="minorHAnsi"/>
          <w:b/>
          <w:i/>
        </w:rPr>
        <w:t>Please provide comments or institutional feedback regarding this standard:</w:t>
      </w:r>
    </w:p>
    <w:tbl>
      <w:tblPr>
        <w:tblStyle w:val="TableGrid"/>
        <w:tblW w:w="10176" w:type="dxa"/>
        <w:tblInd w:w="135" w:type="dxa"/>
        <w:tblLook w:val="04A0" w:firstRow="1" w:lastRow="0" w:firstColumn="1" w:lastColumn="0" w:noHBand="0" w:noVBand="1"/>
      </w:tblPr>
      <w:tblGrid>
        <w:gridCol w:w="10176"/>
      </w:tblGrid>
      <w:tr w:rsidR="00A36E40" w:rsidTr="001A4D3A">
        <w:trPr>
          <w:trHeight w:val="1907"/>
        </w:trPr>
        <w:tc>
          <w:tcPr>
            <w:tcW w:w="10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6E40" w:rsidRDefault="00A36E40" w:rsidP="001A4D3A">
            <w:pPr>
              <w:rPr>
                <w:rFonts w:eastAsiaTheme="minorHAnsi"/>
              </w:rPr>
            </w:pPr>
          </w:p>
        </w:tc>
      </w:tr>
    </w:tbl>
    <w:p w:rsidR="00A36E40" w:rsidRDefault="00A36E40" w:rsidP="00A36E40">
      <w:pPr>
        <w:rPr>
          <w:rFonts w:eastAsiaTheme="minorHAnsi"/>
        </w:rPr>
      </w:pPr>
    </w:p>
    <w:p w:rsidR="000A003F" w:rsidRDefault="000A003F" w:rsidP="00A36E40">
      <w:pPr>
        <w:rPr>
          <w:rFonts w:eastAsiaTheme="minorHAnsi"/>
        </w:rPr>
      </w:pPr>
    </w:p>
    <w:p w:rsidR="00D43F74" w:rsidRPr="00215FD0" w:rsidRDefault="00D43F74" w:rsidP="00D43F74">
      <w:pPr>
        <w:rPr>
          <w:b/>
          <w:u w:val="single"/>
        </w:rPr>
      </w:pPr>
      <w:r w:rsidRPr="00215FD0">
        <w:rPr>
          <w:b/>
          <w:u w:val="single"/>
        </w:rPr>
        <w:t xml:space="preserve">Resources:  </w:t>
      </w:r>
    </w:p>
    <w:p w:rsidR="00C5016A" w:rsidRDefault="00C5016A" w:rsidP="00D43F74">
      <w:pPr>
        <w:rPr>
          <w:rFonts w:ascii="Arial" w:hAnsi="Arial" w:cs="Arial"/>
          <w:color w:val="252525"/>
          <w:sz w:val="20"/>
          <w:szCs w:val="20"/>
        </w:rPr>
      </w:pPr>
    </w:p>
    <w:p w:rsidR="00C5016A" w:rsidRPr="0096625A" w:rsidRDefault="00531FA2" w:rsidP="00C5016A">
      <w:r>
        <w:rPr>
          <w:color w:val="252525"/>
        </w:rPr>
        <w:t>“</w:t>
      </w:r>
      <w:r w:rsidR="00C5016A" w:rsidRPr="0096625A">
        <w:rPr>
          <w:color w:val="252525"/>
        </w:rPr>
        <w:t>Fees charged for assessment should be based on the services performed in the process and not determined by the amount of credit awarded.</w:t>
      </w:r>
      <w:r>
        <w:rPr>
          <w:color w:val="252525"/>
        </w:rPr>
        <w:t>”</w:t>
      </w:r>
      <w:r w:rsidR="00C5016A" w:rsidRPr="0096625A">
        <w:rPr>
          <w:color w:val="252525"/>
        </w:rPr>
        <w:t xml:space="preserve"> (</w:t>
      </w:r>
      <w:r w:rsidR="00C5016A" w:rsidRPr="0096625A">
        <w:t>CAEL Ten Standards for Assessing Learning)</w:t>
      </w:r>
    </w:p>
    <w:p w:rsidR="00D43F74" w:rsidRPr="0096625A" w:rsidRDefault="00D43F74" w:rsidP="00D43F74"/>
    <w:p w:rsidR="00C5016A" w:rsidRPr="0096625A" w:rsidRDefault="00C5016A" w:rsidP="00C5016A">
      <w:r w:rsidRPr="0096625A">
        <w:rPr>
          <w:bCs/>
        </w:rPr>
        <w:t xml:space="preserve">The </w:t>
      </w:r>
      <w:r w:rsidRPr="0096625A">
        <w:rPr>
          <w:b/>
        </w:rPr>
        <w:t>Washington</w:t>
      </w:r>
      <w:r w:rsidRPr="0096625A">
        <w:rPr>
          <w:bCs/>
        </w:rPr>
        <w:t xml:space="preserve"> State Board for Community and Technical Colleges Guidelines for Assessment of Prior Learning state the following: </w:t>
      </w:r>
    </w:p>
    <w:p w:rsidR="00C5016A" w:rsidRPr="0096625A" w:rsidRDefault="00C5016A" w:rsidP="00C5016A">
      <w:pPr>
        <w:numPr>
          <w:ilvl w:val="0"/>
          <w:numId w:val="8"/>
        </w:numPr>
        <w:tabs>
          <w:tab w:val="clear" w:pos="720"/>
        </w:tabs>
        <w:spacing w:after="100" w:afterAutospacing="1" w:line="276" w:lineRule="auto"/>
        <w:ind w:left="792" w:hanging="180"/>
      </w:pPr>
      <w:r w:rsidRPr="0096625A">
        <w:t>“The fees for assessment will be based on actual costs</w:t>
      </w:r>
      <w:r w:rsidR="00B33869">
        <w:t>…</w:t>
      </w:r>
      <w:r w:rsidRPr="0096625A">
        <w:t xml:space="preserve"> The fees will be based on the amount of credit requested, not the amount of credit awarded.</w:t>
      </w:r>
    </w:p>
    <w:p w:rsidR="00C5016A" w:rsidRPr="0096625A" w:rsidRDefault="00C5016A" w:rsidP="00C5016A">
      <w:pPr>
        <w:numPr>
          <w:ilvl w:val="0"/>
          <w:numId w:val="8"/>
        </w:numPr>
        <w:tabs>
          <w:tab w:val="clear" w:pos="720"/>
        </w:tabs>
        <w:spacing w:before="100" w:beforeAutospacing="1" w:after="100" w:afterAutospacing="1" w:line="276" w:lineRule="auto"/>
        <w:ind w:left="792" w:hanging="180"/>
      </w:pPr>
      <w:r w:rsidRPr="0096625A">
        <w:t>Fees should be published and consistently applied.</w:t>
      </w:r>
    </w:p>
    <w:p w:rsidR="00D43F74" w:rsidRPr="00215FD0" w:rsidRDefault="00C5016A" w:rsidP="00D43F74">
      <w:pPr>
        <w:numPr>
          <w:ilvl w:val="0"/>
          <w:numId w:val="8"/>
        </w:numPr>
        <w:tabs>
          <w:tab w:val="clear" w:pos="720"/>
        </w:tabs>
        <w:spacing w:before="100" w:beforeAutospacing="1" w:after="100" w:afterAutospacing="1" w:line="276" w:lineRule="auto"/>
        <w:ind w:left="792" w:hanging="180"/>
      </w:pPr>
      <w:r w:rsidRPr="0096625A">
        <w:t>Fees should be consistent to the extent possible across the system”</w:t>
      </w:r>
      <w:r w:rsidR="00D43F74" w:rsidRPr="00215FD0">
        <w:br w:type="page"/>
      </w:r>
    </w:p>
    <w:p w:rsidR="00D43F74" w:rsidRPr="00215FD0" w:rsidRDefault="00D43F74" w:rsidP="00D43F74">
      <w:pPr>
        <w:jc w:val="center"/>
        <w:rPr>
          <w:b/>
        </w:rPr>
      </w:pPr>
      <w:r w:rsidRPr="00215FD0">
        <w:rPr>
          <w:b/>
        </w:rPr>
        <w:lastRenderedPageBreak/>
        <w:t>Higher Education Coordinating Commission</w:t>
      </w:r>
    </w:p>
    <w:p w:rsidR="00D43F74" w:rsidRPr="00215FD0" w:rsidRDefault="00D43F74" w:rsidP="00D43F74">
      <w:pPr>
        <w:jc w:val="center"/>
        <w:rPr>
          <w:b/>
        </w:rPr>
      </w:pPr>
      <w:r w:rsidRPr="00215FD0">
        <w:rPr>
          <w:b/>
        </w:rPr>
        <w:t xml:space="preserve">Credit for Prior Learning Standards </w:t>
      </w:r>
    </w:p>
    <w:p w:rsidR="00D43F74" w:rsidRPr="00215FD0" w:rsidRDefault="00D43F74" w:rsidP="00D43F74">
      <w:pPr>
        <w:jc w:val="center"/>
        <w:rPr>
          <w:b/>
          <w:sz w:val="28"/>
          <w:szCs w:val="28"/>
        </w:rPr>
      </w:pPr>
    </w:p>
    <w:p w:rsidR="00644413" w:rsidRDefault="00644413" w:rsidP="00644413">
      <w:pPr>
        <w:rPr>
          <w:b/>
        </w:rPr>
      </w:pPr>
      <w:r w:rsidRPr="00644413">
        <w:rPr>
          <w:b/>
        </w:rPr>
        <w:t>Standard 4:  Transferability</w:t>
      </w:r>
      <w:r w:rsidR="00C732FD">
        <w:rPr>
          <w:b/>
        </w:rPr>
        <w:t xml:space="preserve"> and Transc</w:t>
      </w:r>
      <w:r w:rsidR="005C145E">
        <w:rPr>
          <w:b/>
        </w:rPr>
        <w:t>r</w:t>
      </w:r>
      <w:r w:rsidR="00C732FD">
        <w:rPr>
          <w:b/>
        </w:rPr>
        <w:t>iption</w:t>
      </w:r>
    </w:p>
    <w:p w:rsidR="00001D05" w:rsidRDefault="00001D05" w:rsidP="00644413">
      <w:pPr>
        <w:rPr>
          <w:b/>
        </w:rPr>
      </w:pPr>
    </w:p>
    <w:p w:rsidR="00644413" w:rsidRDefault="00644413" w:rsidP="00644413">
      <w:pPr>
        <w:autoSpaceDE w:val="0"/>
        <w:autoSpaceDN w:val="0"/>
        <w:adjustRightInd w:val="0"/>
        <w:ind w:left="720" w:hanging="720"/>
      </w:pPr>
      <w:r w:rsidRPr="00644413">
        <w:t xml:space="preserve">4.1  </w:t>
      </w:r>
      <w:r w:rsidRPr="00644413">
        <w:tab/>
        <w:t xml:space="preserve">Oregon’s postsecondary institutions that award </w:t>
      </w:r>
      <w:r w:rsidR="007C4148">
        <w:t>CPL</w:t>
      </w:r>
      <w:r w:rsidRPr="00644413">
        <w:t xml:space="preserve"> shall</w:t>
      </w:r>
      <w:r w:rsidRPr="00644413">
        <w:rPr>
          <w:bCs/>
        </w:rPr>
        <w:t xml:space="preserve"> </w:t>
      </w:r>
      <w:r w:rsidR="00C732FD" w:rsidRPr="00D602E8">
        <w:rPr>
          <w:bCs/>
        </w:rPr>
        <w:t xml:space="preserve">work </w:t>
      </w:r>
      <w:r w:rsidRPr="00644413">
        <w:t xml:space="preserve">with partnering institutions </w:t>
      </w:r>
      <w:r w:rsidR="00C732FD">
        <w:t xml:space="preserve">to promote </w:t>
      </w:r>
      <w:r w:rsidR="00E36327">
        <w:t>transferability of CPL</w:t>
      </w:r>
      <w:r w:rsidR="005058B7">
        <w:t xml:space="preserve">. </w:t>
      </w:r>
      <w:r w:rsidR="00E36327">
        <w:t xml:space="preserve"> </w:t>
      </w:r>
    </w:p>
    <w:p w:rsidR="00975F60" w:rsidRPr="00644413" w:rsidRDefault="00975F60" w:rsidP="00644413">
      <w:pPr>
        <w:autoSpaceDE w:val="0"/>
        <w:autoSpaceDN w:val="0"/>
        <w:adjustRightInd w:val="0"/>
        <w:ind w:left="720" w:hanging="720"/>
        <w:rPr>
          <w:color w:val="FF0000"/>
        </w:rPr>
      </w:pPr>
    </w:p>
    <w:p w:rsidR="00644413" w:rsidRPr="00644413" w:rsidRDefault="00644413" w:rsidP="00644413">
      <w:pPr>
        <w:autoSpaceDE w:val="0"/>
        <w:autoSpaceDN w:val="0"/>
        <w:adjustRightInd w:val="0"/>
        <w:ind w:left="720" w:hanging="720"/>
        <w:rPr>
          <w:color w:val="FF0000"/>
        </w:rPr>
      </w:pPr>
      <w:r w:rsidRPr="00644413">
        <w:rPr>
          <w:noProof/>
        </w:rPr>
        <w:t xml:space="preserve">4.2  </w:t>
      </w:r>
      <w:r w:rsidRPr="00644413">
        <w:rPr>
          <w:noProof/>
        </w:rPr>
        <w:tab/>
      </w:r>
      <w:r w:rsidR="005058B7">
        <w:rPr>
          <w:noProof/>
        </w:rPr>
        <w:t>I</w:t>
      </w:r>
      <w:r w:rsidRPr="00644413">
        <w:rPr>
          <w:noProof/>
        </w:rPr>
        <w:t>nstitution</w:t>
      </w:r>
      <w:r w:rsidR="005058B7">
        <w:rPr>
          <w:noProof/>
        </w:rPr>
        <w:t>s</w:t>
      </w:r>
      <w:r w:rsidRPr="00644413">
        <w:rPr>
          <w:noProof/>
        </w:rPr>
        <w:t xml:space="preserve"> must determine the applicability of  </w:t>
      </w:r>
      <w:r w:rsidR="007C4148">
        <w:rPr>
          <w:noProof/>
        </w:rPr>
        <w:t>CPL</w:t>
      </w:r>
      <w:r w:rsidRPr="00644413">
        <w:rPr>
          <w:noProof/>
        </w:rPr>
        <w:t xml:space="preserve"> toward a </w:t>
      </w:r>
      <w:r w:rsidR="005058B7">
        <w:rPr>
          <w:noProof/>
        </w:rPr>
        <w:t xml:space="preserve">course leading to a </w:t>
      </w:r>
      <w:r w:rsidRPr="00644413">
        <w:rPr>
          <w:noProof/>
        </w:rPr>
        <w:t>degree, certificate or elective credit</w:t>
      </w:r>
      <w:r w:rsidR="005058B7">
        <w:rPr>
          <w:noProof/>
        </w:rPr>
        <w:t>.</w:t>
      </w:r>
      <w:r w:rsidRPr="00644413">
        <w:rPr>
          <w:noProof/>
        </w:rPr>
        <w:t xml:space="preserve"> </w:t>
      </w:r>
    </w:p>
    <w:p w:rsidR="00644413" w:rsidRPr="00644413" w:rsidRDefault="00644413" w:rsidP="00644413">
      <w:pPr>
        <w:autoSpaceDE w:val="0"/>
        <w:autoSpaceDN w:val="0"/>
        <w:adjustRightInd w:val="0"/>
        <w:rPr>
          <w:noProof/>
        </w:rPr>
      </w:pPr>
    </w:p>
    <w:p w:rsidR="00644413" w:rsidRPr="00644413" w:rsidRDefault="00644413" w:rsidP="00644413">
      <w:pPr>
        <w:spacing w:after="200" w:line="276" w:lineRule="auto"/>
        <w:ind w:left="720" w:hanging="720"/>
        <w:rPr>
          <w:rFonts w:eastAsiaTheme="minorHAnsi"/>
        </w:rPr>
      </w:pPr>
      <w:r w:rsidRPr="00644413">
        <w:rPr>
          <w:rFonts w:eastAsiaTheme="minorHAnsi"/>
        </w:rPr>
        <w:t>4.3</w:t>
      </w:r>
      <w:r w:rsidRPr="00644413">
        <w:rPr>
          <w:rFonts w:eastAsiaTheme="minorHAnsi"/>
        </w:rPr>
        <w:tab/>
        <w:t xml:space="preserve">Institutions </w:t>
      </w:r>
      <w:r w:rsidR="005058B7">
        <w:rPr>
          <w:rFonts w:eastAsiaTheme="minorHAnsi"/>
        </w:rPr>
        <w:t>shall determine the acceptability of transfer credit granted for CPL</w:t>
      </w:r>
      <w:r w:rsidR="00261227">
        <w:rPr>
          <w:rFonts w:eastAsiaTheme="minorHAnsi"/>
        </w:rPr>
        <w:t xml:space="preserve"> from other institutions</w:t>
      </w:r>
      <w:r w:rsidR="005058B7">
        <w:rPr>
          <w:rFonts w:eastAsiaTheme="minorHAnsi"/>
        </w:rPr>
        <w:t xml:space="preserve">. </w:t>
      </w:r>
      <w:r w:rsidRPr="00644413">
        <w:rPr>
          <w:rFonts w:eastAsiaTheme="minorHAnsi"/>
        </w:rPr>
        <w:t>.</w:t>
      </w:r>
    </w:p>
    <w:p w:rsidR="00644413" w:rsidRPr="00644413" w:rsidRDefault="00644413" w:rsidP="00644413">
      <w:pPr>
        <w:spacing w:after="200" w:line="276" w:lineRule="auto"/>
        <w:ind w:left="720" w:hanging="720"/>
        <w:rPr>
          <w:rFonts w:eastAsiaTheme="minorHAnsi"/>
        </w:rPr>
      </w:pPr>
      <w:r w:rsidRPr="00644413">
        <w:t>4.4</w:t>
      </w:r>
      <w:r w:rsidRPr="00644413">
        <w:tab/>
        <w:t>All documentation and files regarding</w:t>
      </w:r>
      <w:r w:rsidR="00975F60">
        <w:t xml:space="preserve"> </w:t>
      </w:r>
      <w:r w:rsidRPr="00644413">
        <w:t xml:space="preserve">prior learning credit will be maintained </w:t>
      </w:r>
      <w:r w:rsidR="00C7599F">
        <w:t>as part of the</w:t>
      </w:r>
      <w:r w:rsidR="00261227">
        <w:t xml:space="preserve"> student’s</w:t>
      </w:r>
      <w:r w:rsidR="00C7599F">
        <w:t xml:space="preserve"> official institutional academic record. </w:t>
      </w:r>
    </w:p>
    <w:p w:rsidR="00644413" w:rsidRPr="00644413" w:rsidRDefault="00644413" w:rsidP="00644413">
      <w:pPr>
        <w:autoSpaceDE w:val="0"/>
        <w:autoSpaceDN w:val="0"/>
        <w:adjustRightInd w:val="0"/>
        <w:ind w:left="720" w:hanging="720"/>
      </w:pPr>
      <w:r w:rsidRPr="00644413">
        <w:t>4.5</w:t>
      </w:r>
      <w:r w:rsidRPr="00644413">
        <w:tab/>
        <w:t xml:space="preserve">All academic credit that is awarded must be </w:t>
      </w:r>
      <w:proofErr w:type="spellStart"/>
      <w:r w:rsidRPr="00644413">
        <w:t>transcripted</w:t>
      </w:r>
      <w:proofErr w:type="spellEnd"/>
      <w:r w:rsidRPr="00644413">
        <w:t xml:space="preserve"> to comply with state, federal regulations and accred</w:t>
      </w:r>
      <w:r w:rsidR="00892367">
        <w:t>itation policies and standards.</w:t>
      </w:r>
      <w:r w:rsidRPr="00644413">
        <w:t xml:space="preserve"> Notations on the transcript shall clearly identify the type of </w:t>
      </w:r>
      <w:r w:rsidR="007C4148">
        <w:t>CPL</w:t>
      </w:r>
      <w:r w:rsidRPr="00644413">
        <w:t xml:space="preserve"> </w:t>
      </w:r>
      <w:r w:rsidR="00C7599F">
        <w:t>a</w:t>
      </w:r>
      <w:r w:rsidRPr="00644413">
        <w:t xml:space="preserve">warded. Types of </w:t>
      </w:r>
      <w:r w:rsidR="007C4148">
        <w:t>CPL</w:t>
      </w:r>
      <w:r w:rsidRPr="00644413">
        <w:t xml:space="preserve"> include: </w:t>
      </w:r>
    </w:p>
    <w:p w:rsidR="00644413" w:rsidRPr="00644413" w:rsidRDefault="00644413" w:rsidP="00644413">
      <w:pPr>
        <w:ind w:left="360"/>
      </w:pPr>
    </w:p>
    <w:p w:rsidR="00644413" w:rsidRPr="00644413" w:rsidRDefault="000E57EA" w:rsidP="00644413">
      <w:pPr>
        <w:ind w:left="990" w:hanging="360"/>
      </w:pPr>
      <w:r>
        <w:t>Credit by Assessment at the</w:t>
      </w:r>
      <w:r w:rsidR="00644413" w:rsidRPr="00644413">
        <w:t xml:space="preserve"> Postsecondary Level:</w:t>
      </w:r>
    </w:p>
    <w:p w:rsidR="00644413" w:rsidRPr="00644413" w:rsidRDefault="00644413" w:rsidP="00644413">
      <w:pPr>
        <w:pStyle w:val="ListParagraph"/>
        <w:numPr>
          <w:ilvl w:val="0"/>
          <w:numId w:val="2"/>
        </w:numPr>
        <w:spacing w:line="276" w:lineRule="auto"/>
        <w:ind w:left="990"/>
      </w:pPr>
      <w:r w:rsidRPr="00644413">
        <w:t>Portfolio</w:t>
      </w:r>
    </w:p>
    <w:p w:rsidR="00644413" w:rsidRPr="00644413" w:rsidRDefault="00644413" w:rsidP="00644413">
      <w:pPr>
        <w:pStyle w:val="ListParagraph"/>
        <w:numPr>
          <w:ilvl w:val="0"/>
          <w:numId w:val="2"/>
        </w:numPr>
        <w:tabs>
          <w:tab w:val="left" w:pos="1080"/>
        </w:tabs>
        <w:spacing w:line="276" w:lineRule="auto"/>
        <w:ind w:left="990"/>
      </w:pPr>
      <w:r w:rsidRPr="00644413">
        <w:t>Institutional Challenge Exams and other forms of assessment</w:t>
      </w:r>
    </w:p>
    <w:p w:rsidR="00644413" w:rsidRPr="00644413" w:rsidRDefault="00644413" w:rsidP="00644413">
      <w:pPr>
        <w:pStyle w:val="ListParagraph"/>
        <w:numPr>
          <w:ilvl w:val="0"/>
          <w:numId w:val="2"/>
        </w:numPr>
        <w:tabs>
          <w:tab w:val="left" w:pos="1080"/>
        </w:tabs>
        <w:spacing w:line="276" w:lineRule="auto"/>
        <w:ind w:left="990"/>
      </w:pPr>
      <w:r w:rsidRPr="00644413">
        <w:t>Credit – By-Exam (CLEP, DANTES, etc.)</w:t>
      </w:r>
    </w:p>
    <w:p w:rsidR="00644413" w:rsidRPr="00644413" w:rsidRDefault="00644413" w:rsidP="00644413">
      <w:pPr>
        <w:pStyle w:val="ListParagraph"/>
        <w:numPr>
          <w:ilvl w:val="0"/>
          <w:numId w:val="2"/>
        </w:numPr>
        <w:tabs>
          <w:tab w:val="left" w:pos="1080"/>
        </w:tabs>
        <w:spacing w:line="276" w:lineRule="auto"/>
        <w:ind w:left="990"/>
      </w:pPr>
      <w:r w:rsidRPr="00644413">
        <w:t xml:space="preserve">ACE Credit Recommendation </w:t>
      </w:r>
      <w:r w:rsidR="00261227">
        <w:t>(Military Service)</w:t>
      </w:r>
    </w:p>
    <w:p w:rsidR="00644413" w:rsidRPr="00644413" w:rsidRDefault="00644413" w:rsidP="00644413">
      <w:pPr>
        <w:pStyle w:val="ListParagraph"/>
        <w:numPr>
          <w:ilvl w:val="0"/>
          <w:numId w:val="2"/>
        </w:numPr>
        <w:tabs>
          <w:tab w:val="left" w:pos="1080"/>
        </w:tabs>
        <w:spacing w:line="276" w:lineRule="auto"/>
        <w:ind w:left="990"/>
      </w:pPr>
      <w:r w:rsidRPr="00644413">
        <w:t>Industry Certifications</w:t>
      </w:r>
    </w:p>
    <w:p w:rsidR="00644413" w:rsidRPr="00644413" w:rsidRDefault="00644413" w:rsidP="00644413">
      <w:pPr>
        <w:ind w:left="990"/>
      </w:pPr>
    </w:p>
    <w:p w:rsidR="00644413" w:rsidRPr="00644413" w:rsidRDefault="00644413" w:rsidP="00644413">
      <w:pPr>
        <w:tabs>
          <w:tab w:val="left" w:pos="630"/>
        </w:tabs>
        <w:ind w:left="990" w:hanging="360"/>
      </w:pPr>
      <w:r w:rsidRPr="00644413">
        <w:t>Credit by Agreement @ Secondary Level:</w:t>
      </w:r>
    </w:p>
    <w:p w:rsidR="00644413" w:rsidRPr="00644413" w:rsidRDefault="00644413" w:rsidP="00644413">
      <w:pPr>
        <w:pStyle w:val="ListParagraph"/>
        <w:numPr>
          <w:ilvl w:val="0"/>
          <w:numId w:val="3"/>
        </w:numPr>
        <w:spacing w:line="276" w:lineRule="auto"/>
        <w:ind w:left="990"/>
      </w:pPr>
      <w:r w:rsidRPr="00644413">
        <w:t>International Baccalaureate</w:t>
      </w:r>
      <w:r w:rsidR="00714FCD">
        <w:t xml:space="preserve"> Program Exams</w:t>
      </w:r>
    </w:p>
    <w:p w:rsidR="00644413" w:rsidRPr="00644413" w:rsidRDefault="00644413" w:rsidP="00644413">
      <w:pPr>
        <w:pStyle w:val="ListParagraph"/>
        <w:numPr>
          <w:ilvl w:val="0"/>
          <w:numId w:val="3"/>
        </w:numPr>
        <w:spacing w:line="276" w:lineRule="auto"/>
        <w:ind w:left="990"/>
      </w:pPr>
      <w:r w:rsidRPr="00644413">
        <w:t>Advanced Placement</w:t>
      </w:r>
      <w:r w:rsidR="00261227">
        <w:t xml:space="preserve"> Exams</w:t>
      </w:r>
    </w:p>
    <w:p w:rsidR="00A36E40" w:rsidRPr="000A003F" w:rsidRDefault="00A36E40" w:rsidP="00A36E40">
      <w:pPr>
        <w:rPr>
          <w:b/>
          <w:i/>
        </w:rPr>
      </w:pPr>
    </w:p>
    <w:p w:rsidR="000A003F" w:rsidRDefault="000A003F" w:rsidP="00A36E40">
      <w:pPr>
        <w:rPr>
          <w:rFonts w:eastAsiaTheme="minorHAnsi"/>
          <w:b/>
          <w:i/>
        </w:rPr>
      </w:pPr>
    </w:p>
    <w:p w:rsidR="00A36E40" w:rsidRPr="000A003F" w:rsidRDefault="00A36E40" w:rsidP="00A36E40">
      <w:pPr>
        <w:rPr>
          <w:rFonts w:eastAsiaTheme="minorHAnsi"/>
          <w:b/>
          <w:i/>
        </w:rPr>
      </w:pPr>
      <w:r w:rsidRPr="000A003F">
        <w:rPr>
          <w:rFonts w:eastAsiaTheme="minorHAnsi"/>
          <w:b/>
          <w:i/>
        </w:rPr>
        <w:t>Please provide comments or institutional feedback regarding this standard:</w:t>
      </w:r>
    </w:p>
    <w:tbl>
      <w:tblPr>
        <w:tblStyle w:val="TableGrid"/>
        <w:tblW w:w="10176" w:type="dxa"/>
        <w:tblInd w:w="135" w:type="dxa"/>
        <w:tblLook w:val="04A0" w:firstRow="1" w:lastRow="0" w:firstColumn="1" w:lastColumn="0" w:noHBand="0" w:noVBand="1"/>
      </w:tblPr>
      <w:tblGrid>
        <w:gridCol w:w="10176"/>
      </w:tblGrid>
      <w:tr w:rsidR="00A36E40" w:rsidTr="001A4D3A">
        <w:trPr>
          <w:trHeight w:val="1907"/>
        </w:trPr>
        <w:tc>
          <w:tcPr>
            <w:tcW w:w="10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6E40" w:rsidRDefault="00A36E40" w:rsidP="001A4D3A">
            <w:pPr>
              <w:rPr>
                <w:rFonts w:eastAsiaTheme="minorHAnsi"/>
              </w:rPr>
            </w:pPr>
          </w:p>
        </w:tc>
      </w:tr>
    </w:tbl>
    <w:p w:rsidR="00A36E40" w:rsidRDefault="00A36E40" w:rsidP="00A36E40">
      <w:pPr>
        <w:rPr>
          <w:rFonts w:eastAsiaTheme="minorHAnsi"/>
        </w:rPr>
      </w:pPr>
    </w:p>
    <w:p w:rsidR="000A003F" w:rsidRDefault="000A003F" w:rsidP="00A36E40">
      <w:pPr>
        <w:rPr>
          <w:rFonts w:eastAsiaTheme="minorHAnsi"/>
        </w:rPr>
      </w:pPr>
    </w:p>
    <w:p w:rsidR="000A003F" w:rsidRDefault="000A003F" w:rsidP="00A36E40">
      <w:pPr>
        <w:rPr>
          <w:rFonts w:eastAsiaTheme="minorHAnsi"/>
        </w:rPr>
      </w:pPr>
    </w:p>
    <w:p w:rsidR="000A003F" w:rsidRDefault="000A003F" w:rsidP="00A36E40">
      <w:pPr>
        <w:rPr>
          <w:rFonts w:eastAsiaTheme="minorHAnsi"/>
        </w:rPr>
      </w:pPr>
    </w:p>
    <w:p w:rsidR="000A003F" w:rsidRDefault="000A003F" w:rsidP="00A36E40">
      <w:pPr>
        <w:rPr>
          <w:rFonts w:eastAsiaTheme="minorHAnsi"/>
        </w:rPr>
      </w:pPr>
    </w:p>
    <w:p w:rsidR="00644413" w:rsidRPr="00644413" w:rsidRDefault="00644413" w:rsidP="00644413">
      <w:pPr>
        <w:spacing w:line="276" w:lineRule="auto"/>
      </w:pPr>
      <w:r w:rsidRPr="00644413">
        <w:rPr>
          <w:b/>
        </w:rPr>
        <w:lastRenderedPageBreak/>
        <w:t xml:space="preserve">Resources:  </w:t>
      </w:r>
    </w:p>
    <w:p w:rsidR="00644413" w:rsidRPr="00644413" w:rsidRDefault="00644413" w:rsidP="00644413">
      <w:pPr>
        <w:pStyle w:val="ListParagraph"/>
      </w:pPr>
    </w:p>
    <w:p w:rsidR="00644413" w:rsidRDefault="00644413" w:rsidP="00644413">
      <w:pPr>
        <w:pStyle w:val="ListParagraph"/>
        <w:numPr>
          <w:ilvl w:val="0"/>
          <w:numId w:val="9"/>
        </w:numPr>
        <w:spacing w:line="276" w:lineRule="auto"/>
        <w:ind w:left="540" w:firstLine="0"/>
      </w:pPr>
      <w:r w:rsidRPr="00644413">
        <w:t>CAEL Assessment Standards</w:t>
      </w:r>
    </w:p>
    <w:p w:rsidR="00C7599F" w:rsidRDefault="00C7599F" w:rsidP="00975F60">
      <w:pPr>
        <w:pStyle w:val="ListParagraph"/>
        <w:spacing w:line="276" w:lineRule="auto"/>
        <w:ind w:left="540"/>
      </w:pPr>
      <w:r w:rsidRPr="00C7599F">
        <w:t>http://www.cael.org/pla.htm#Follow the Ten Standards for Assessing Learning</w:t>
      </w:r>
    </w:p>
    <w:p w:rsidR="00975F60" w:rsidRDefault="00975F60" w:rsidP="00975F60">
      <w:pPr>
        <w:spacing w:line="276" w:lineRule="auto"/>
      </w:pPr>
    </w:p>
    <w:p w:rsidR="00644413" w:rsidRPr="00644413" w:rsidRDefault="00644413" w:rsidP="00644413">
      <w:pPr>
        <w:pStyle w:val="ListParagraph"/>
        <w:numPr>
          <w:ilvl w:val="0"/>
          <w:numId w:val="9"/>
        </w:numPr>
        <w:spacing w:line="276" w:lineRule="auto"/>
        <w:ind w:left="540" w:firstLine="0"/>
      </w:pPr>
      <w:r w:rsidRPr="00644413">
        <w:t xml:space="preserve">Northwest Commission on Colleges and Universities Standards: </w:t>
      </w:r>
    </w:p>
    <w:p w:rsidR="00644413" w:rsidRPr="00644413" w:rsidRDefault="00644413" w:rsidP="00644413">
      <w:pPr>
        <w:pStyle w:val="ListParagraph"/>
        <w:spacing w:line="276" w:lineRule="auto"/>
        <w:ind w:left="1440"/>
      </w:pPr>
    </w:p>
    <w:tbl>
      <w:tblPr>
        <w:tblW w:w="4391" w:type="pct"/>
        <w:tblCellSpacing w:w="12" w:type="dxa"/>
        <w:tblInd w:w="1074" w:type="dxa"/>
        <w:tblCellMar>
          <w:top w:w="60" w:type="dxa"/>
          <w:left w:w="60" w:type="dxa"/>
          <w:bottom w:w="60" w:type="dxa"/>
          <w:right w:w="60" w:type="dxa"/>
        </w:tblCellMar>
        <w:tblLook w:val="04A0" w:firstRow="1" w:lastRow="0" w:firstColumn="1" w:lastColumn="0" w:noHBand="0" w:noVBand="1"/>
      </w:tblPr>
      <w:tblGrid>
        <w:gridCol w:w="997"/>
        <w:gridCol w:w="8003"/>
      </w:tblGrid>
      <w:tr w:rsidR="00644413" w:rsidRPr="00644413" w:rsidTr="00531FA2">
        <w:trPr>
          <w:tblCellSpacing w:w="12" w:type="dxa"/>
        </w:trPr>
        <w:tc>
          <w:tcPr>
            <w:tcW w:w="534" w:type="pct"/>
            <w:hideMark/>
          </w:tcPr>
          <w:p w:rsidR="00644413" w:rsidRPr="00644413" w:rsidRDefault="00644413" w:rsidP="00EB141C">
            <w:r w:rsidRPr="00644413">
              <w:t>2.C.7</w:t>
            </w:r>
          </w:p>
        </w:tc>
        <w:tc>
          <w:tcPr>
            <w:tcW w:w="4426" w:type="pct"/>
            <w:hideMark/>
          </w:tcPr>
          <w:p w:rsidR="00644413" w:rsidRPr="00644413" w:rsidRDefault="00644413" w:rsidP="00EB141C">
            <w:r w:rsidRPr="00644413">
              <w:t>Credit for prior experiential learning, if granted, is: a) guided by approved policies and procedures; b) awarded only at the undergraduate level to enrolled students; c) limited to a maximum of 25% of the credits needed for a degree; d) awarded only for documented student achievement equivalent to expected learning achievement for courses within the institution’s regular curricular offerings; and e) granted only upon the recommendation of appropriately qualified teaching faculty. Credit granted for prior experiential learning is so identified on students’ transcripts and may not duplicate other credit awarded to the student in fulfillment of degree requirements. The institution makes no assurances regarding the number of credits to be awarded prior to the completion of the institution’s review process.</w:t>
            </w:r>
          </w:p>
        </w:tc>
      </w:tr>
      <w:tr w:rsidR="00644413" w:rsidRPr="00644413" w:rsidTr="00531FA2">
        <w:trPr>
          <w:tblCellSpacing w:w="12" w:type="dxa"/>
        </w:trPr>
        <w:tc>
          <w:tcPr>
            <w:tcW w:w="534" w:type="pct"/>
            <w:hideMark/>
          </w:tcPr>
          <w:p w:rsidR="00644413" w:rsidRPr="00644413" w:rsidRDefault="00644413" w:rsidP="00EB141C">
            <w:r w:rsidRPr="00644413">
              <w:t>2.C.8</w:t>
            </w:r>
          </w:p>
        </w:tc>
        <w:tc>
          <w:tcPr>
            <w:tcW w:w="4426" w:type="pct"/>
            <w:hideMark/>
          </w:tcPr>
          <w:p w:rsidR="00644413" w:rsidRPr="00644413" w:rsidRDefault="00644413" w:rsidP="00EB141C">
            <w:r w:rsidRPr="00644413">
              <w:t>The final judgment in accepting transfer credit is the responsibility of the receiving institution. Transfer credit is accepted according to procedures which provide adequate safeguards to ensure high academic quality, relevance to the students’ programs, and integrity of the receiving institution’s degrees. In accepting transfer credit, the receiving institution ensures that the credit accepted is appropriate for its programs and comparable in nature, content, academic quality, and level to credit it offers. Where patterns of student enrollment between institutions are identified, the institution develops articulation agreements between the institutions.</w:t>
            </w:r>
          </w:p>
        </w:tc>
      </w:tr>
    </w:tbl>
    <w:p w:rsidR="00D43F74" w:rsidRPr="00644413" w:rsidRDefault="00D43F74" w:rsidP="00D43F74"/>
    <w:p w:rsidR="00D43F74" w:rsidRPr="00644413" w:rsidRDefault="00D43F74" w:rsidP="002B3FF2">
      <w:pPr>
        <w:spacing w:line="276" w:lineRule="auto"/>
        <w:rPr>
          <w:sz w:val="28"/>
          <w:szCs w:val="28"/>
        </w:rPr>
      </w:pPr>
      <w:r w:rsidRPr="00644413">
        <w:rPr>
          <w:sz w:val="28"/>
          <w:szCs w:val="28"/>
        </w:rPr>
        <w:br w:type="page"/>
      </w:r>
    </w:p>
    <w:p w:rsidR="00D43F74" w:rsidRPr="00215FD0" w:rsidRDefault="00D43F74" w:rsidP="00D43F74">
      <w:pPr>
        <w:jc w:val="center"/>
        <w:rPr>
          <w:b/>
        </w:rPr>
      </w:pPr>
      <w:r w:rsidRPr="00215FD0">
        <w:rPr>
          <w:b/>
        </w:rPr>
        <w:lastRenderedPageBreak/>
        <w:t>Higher Education Coordinating Commission</w:t>
      </w:r>
    </w:p>
    <w:p w:rsidR="00D43F74" w:rsidRPr="00215FD0" w:rsidRDefault="00D43F74" w:rsidP="00D43F74">
      <w:pPr>
        <w:jc w:val="center"/>
        <w:rPr>
          <w:b/>
        </w:rPr>
      </w:pPr>
      <w:r w:rsidRPr="00215FD0">
        <w:rPr>
          <w:b/>
        </w:rPr>
        <w:t xml:space="preserve">Credit for Prior Learning </w:t>
      </w:r>
      <w:r w:rsidR="00EB08CB" w:rsidRPr="00215FD0">
        <w:rPr>
          <w:b/>
        </w:rPr>
        <w:t>Standards</w:t>
      </w:r>
    </w:p>
    <w:p w:rsidR="00D43F74" w:rsidRPr="00215FD0" w:rsidRDefault="00D43F74" w:rsidP="00D43F74">
      <w:pPr>
        <w:jc w:val="center"/>
        <w:rPr>
          <w:b/>
        </w:rPr>
      </w:pPr>
    </w:p>
    <w:p w:rsidR="00D43F74" w:rsidRPr="00215FD0" w:rsidRDefault="00D43F74" w:rsidP="00D43F74">
      <w:pPr>
        <w:rPr>
          <w:b/>
        </w:rPr>
      </w:pPr>
      <w:r w:rsidRPr="00215FD0">
        <w:rPr>
          <w:b/>
        </w:rPr>
        <w:t>Standard 5:   Data Collection &amp; Reporting</w:t>
      </w:r>
    </w:p>
    <w:p w:rsidR="00D43F74" w:rsidRPr="00215FD0" w:rsidRDefault="00D43F74" w:rsidP="00D43F74"/>
    <w:p w:rsidR="00D43F74" w:rsidRPr="00215FD0" w:rsidRDefault="00D43F74" w:rsidP="00D43F74">
      <w:r w:rsidRPr="00215FD0">
        <w:t xml:space="preserve">Institutions shall collect and report data on the types of </w:t>
      </w:r>
      <w:r w:rsidR="00C7599F">
        <w:t xml:space="preserve">CPL </w:t>
      </w:r>
      <w:r w:rsidRPr="00215FD0">
        <w:t>award</w:t>
      </w:r>
      <w:r w:rsidR="00C7599F">
        <w:t>ed</w:t>
      </w:r>
      <w:r w:rsidRPr="00215FD0">
        <w:t xml:space="preserve">. Data to be collected include the number of credits granted for and the number of students who receive credit </w:t>
      </w:r>
      <w:r w:rsidR="000457A3">
        <w:t>through</w:t>
      </w:r>
      <w:r w:rsidRPr="00215FD0">
        <w:t xml:space="preserve"> </w:t>
      </w:r>
      <w:r w:rsidR="007C4148">
        <w:t>CPL</w:t>
      </w:r>
      <w:r w:rsidRPr="00215FD0">
        <w:t xml:space="preserve"> on the following types:</w:t>
      </w:r>
    </w:p>
    <w:p w:rsidR="00D43F74" w:rsidRPr="00215FD0" w:rsidRDefault="00D43F74" w:rsidP="00D43F74">
      <w:pPr>
        <w:pStyle w:val="ListParagraph"/>
        <w:numPr>
          <w:ilvl w:val="0"/>
          <w:numId w:val="6"/>
        </w:numPr>
      </w:pPr>
      <w:r w:rsidRPr="00215FD0">
        <w:t>Portfolio</w:t>
      </w:r>
    </w:p>
    <w:p w:rsidR="00D43F74" w:rsidRPr="00215FD0" w:rsidRDefault="00302253" w:rsidP="00D43F74">
      <w:pPr>
        <w:pStyle w:val="ListParagraph"/>
        <w:numPr>
          <w:ilvl w:val="0"/>
          <w:numId w:val="5"/>
        </w:numPr>
      </w:pPr>
      <w:r>
        <w:t xml:space="preserve">Institutional </w:t>
      </w:r>
      <w:r w:rsidR="00D43F74" w:rsidRPr="00215FD0">
        <w:t>Challenge Exams</w:t>
      </w:r>
      <w:r>
        <w:t xml:space="preserve"> and other forms of assessment</w:t>
      </w:r>
    </w:p>
    <w:p w:rsidR="00D43F74" w:rsidRPr="00215FD0" w:rsidRDefault="00D43F74" w:rsidP="00D43F74">
      <w:pPr>
        <w:pStyle w:val="ListParagraph"/>
        <w:numPr>
          <w:ilvl w:val="0"/>
          <w:numId w:val="5"/>
        </w:numPr>
      </w:pPr>
      <w:r w:rsidRPr="00215FD0">
        <w:t xml:space="preserve">Military </w:t>
      </w:r>
      <w:r w:rsidR="000B070F">
        <w:t>Credit</w:t>
      </w:r>
      <w:r w:rsidR="000457A3">
        <w:t xml:space="preserve"> (ACE Credit Recommendation Service)</w:t>
      </w:r>
    </w:p>
    <w:p w:rsidR="00D43F74" w:rsidRPr="00215FD0" w:rsidRDefault="00D43F74" w:rsidP="00D43F74">
      <w:pPr>
        <w:pStyle w:val="ListParagraph"/>
        <w:numPr>
          <w:ilvl w:val="0"/>
          <w:numId w:val="5"/>
        </w:numPr>
      </w:pPr>
      <w:r w:rsidRPr="00215FD0">
        <w:t>International Baccalaureate</w:t>
      </w:r>
      <w:r w:rsidR="00714FCD">
        <w:t xml:space="preserve"> Program Exams</w:t>
      </w:r>
    </w:p>
    <w:p w:rsidR="00D43F74" w:rsidRPr="00215FD0" w:rsidRDefault="00D43F74" w:rsidP="00D43F74">
      <w:pPr>
        <w:pStyle w:val="ListParagraph"/>
        <w:numPr>
          <w:ilvl w:val="0"/>
          <w:numId w:val="5"/>
        </w:numPr>
      </w:pPr>
      <w:r w:rsidRPr="00215FD0">
        <w:t>Advanced Placement</w:t>
      </w:r>
      <w:r w:rsidR="000B070F">
        <w:t xml:space="preserve"> Exam</w:t>
      </w:r>
    </w:p>
    <w:p w:rsidR="00D43F74" w:rsidRPr="00215FD0" w:rsidRDefault="00D43F74" w:rsidP="00D43F74">
      <w:pPr>
        <w:pStyle w:val="ListParagraph"/>
        <w:numPr>
          <w:ilvl w:val="0"/>
          <w:numId w:val="5"/>
        </w:numPr>
      </w:pPr>
      <w:r w:rsidRPr="00215FD0">
        <w:t xml:space="preserve">Credit granted for other Prior Learning </w:t>
      </w:r>
    </w:p>
    <w:p w:rsidR="00A36E40" w:rsidRDefault="00A36E40" w:rsidP="00A36E40"/>
    <w:p w:rsidR="000A003F" w:rsidRDefault="000A003F" w:rsidP="00A36E40">
      <w:pPr>
        <w:rPr>
          <w:rFonts w:eastAsiaTheme="minorHAnsi"/>
          <w:b/>
          <w:i/>
        </w:rPr>
      </w:pPr>
    </w:p>
    <w:p w:rsidR="00A36E40" w:rsidRPr="000A003F" w:rsidRDefault="00A36E40" w:rsidP="00A36E40">
      <w:pPr>
        <w:rPr>
          <w:rFonts w:eastAsiaTheme="minorHAnsi"/>
          <w:b/>
          <w:i/>
        </w:rPr>
      </w:pPr>
      <w:r w:rsidRPr="000A003F">
        <w:rPr>
          <w:rFonts w:eastAsiaTheme="minorHAnsi"/>
          <w:b/>
          <w:i/>
        </w:rPr>
        <w:t>Please provide comments or institutional feedback regarding this standard:</w:t>
      </w:r>
    </w:p>
    <w:tbl>
      <w:tblPr>
        <w:tblStyle w:val="TableGrid"/>
        <w:tblW w:w="10176" w:type="dxa"/>
        <w:tblInd w:w="135" w:type="dxa"/>
        <w:tblLook w:val="04A0" w:firstRow="1" w:lastRow="0" w:firstColumn="1" w:lastColumn="0" w:noHBand="0" w:noVBand="1"/>
      </w:tblPr>
      <w:tblGrid>
        <w:gridCol w:w="10176"/>
      </w:tblGrid>
      <w:tr w:rsidR="00A36E40" w:rsidTr="001A4D3A">
        <w:trPr>
          <w:trHeight w:val="1907"/>
        </w:trPr>
        <w:tc>
          <w:tcPr>
            <w:tcW w:w="10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6E40" w:rsidRDefault="00A36E40" w:rsidP="001A4D3A">
            <w:pPr>
              <w:rPr>
                <w:rFonts w:eastAsiaTheme="minorHAnsi"/>
              </w:rPr>
            </w:pPr>
          </w:p>
        </w:tc>
      </w:tr>
    </w:tbl>
    <w:p w:rsidR="00A36E40" w:rsidRDefault="00A36E40" w:rsidP="00A36E40">
      <w:pPr>
        <w:rPr>
          <w:rFonts w:eastAsiaTheme="minorHAnsi"/>
        </w:rPr>
      </w:pPr>
    </w:p>
    <w:p w:rsidR="000A003F" w:rsidRDefault="000A003F" w:rsidP="00A36E40">
      <w:pPr>
        <w:rPr>
          <w:rFonts w:eastAsiaTheme="minorHAnsi"/>
        </w:rPr>
      </w:pPr>
    </w:p>
    <w:p w:rsidR="00D602E8" w:rsidRDefault="00D43F74" w:rsidP="00D43F74">
      <w:pPr>
        <w:rPr>
          <w:b/>
          <w:u w:val="single"/>
        </w:rPr>
      </w:pPr>
      <w:r w:rsidRPr="00215FD0">
        <w:rPr>
          <w:b/>
          <w:u w:val="single"/>
        </w:rPr>
        <w:t xml:space="preserve">Resources: </w:t>
      </w:r>
    </w:p>
    <w:p w:rsidR="00D43F74" w:rsidRPr="00215FD0" w:rsidRDefault="00D43F74" w:rsidP="00D43F74">
      <w:pPr>
        <w:rPr>
          <w:b/>
          <w:u w:val="single"/>
        </w:rPr>
      </w:pPr>
      <w:r w:rsidRPr="00215FD0">
        <w:rPr>
          <w:b/>
          <w:u w:val="single"/>
        </w:rPr>
        <w:t xml:space="preserve"> </w:t>
      </w:r>
    </w:p>
    <w:tbl>
      <w:tblPr>
        <w:tblStyle w:val="TableGrid"/>
        <w:tblW w:w="0" w:type="auto"/>
        <w:tblInd w:w="108" w:type="dxa"/>
        <w:tblLook w:val="04A0" w:firstRow="1" w:lastRow="0" w:firstColumn="1" w:lastColumn="0" w:noHBand="0" w:noVBand="1"/>
      </w:tblPr>
      <w:tblGrid>
        <w:gridCol w:w="2773"/>
        <w:gridCol w:w="7415"/>
      </w:tblGrid>
      <w:tr w:rsidR="00215FD0" w:rsidRPr="00215FD0" w:rsidTr="00A36E40">
        <w:tc>
          <w:tcPr>
            <w:tcW w:w="2773" w:type="dxa"/>
          </w:tcPr>
          <w:p w:rsidR="00D43F74" w:rsidRPr="00215FD0" w:rsidRDefault="00D43F74" w:rsidP="00D43F74">
            <w:pPr>
              <w:jc w:val="center"/>
              <w:rPr>
                <w:b/>
              </w:rPr>
            </w:pPr>
            <w:r w:rsidRPr="00215FD0">
              <w:rPr>
                <w:b/>
              </w:rPr>
              <w:t xml:space="preserve">Areas to be collected: </w:t>
            </w:r>
          </w:p>
        </w:tc>
        <w:tc>
          <w:tcPr>
            <w:tcW w:w="7415" w:type="dxa"/>
          </w:tcPr>
          <w:p w:rsidR="00D43F74" w:rsidRPr="00215FD0" w:rsidRDefault="00D43F74" w:rsidP="00D43F74">
            <w:pPr>
              <w:jc w:val="center"/>
              <w:rPr>
                <w:b/>
              </w:rPr>
            </w:pPr>
            <w:r w:rsidRPr="00215FD0">
              <w:rPr>
                <w:b/>
              </w:rPr>
              <w:t>Definition</w:t>
            </w:r>
          </w:p>
        </w:tc>
      </w:tr>
      <w:tr w:rsidR="00215FD0" w:rsidRPr="00215FD0" w:rsidTr="00A36E40">
        <w:tc>
          <w:tcPr>
            <w:tcW w:w="2773" w:type="dxa"/>
          </w:tcPr>
          <w:p w:rsidR="00D43F74" w:rsidRPr="00215FD0" w:rsidRDefault="00D43F74" w:rsidP="00D43F74">
            <w:r w:rsidRPr="00215FD0">
              <w:t>Portfolio</w:t>
            </w:r>
          </w:p>
        </w:tc>
        <w:tc>
          <w:tcPr>
            <w:tcW w:w="7415" w:type="dxa"/>
          </w:tcPr>
          <w:p w:rsidR="00D43F74" w:rsidRPr="00215FD0" w:rsidRDefault="00D43F74" w:rsidP="00D43F74">
            <w:r w:rsidRPr="00215FD0">
              <w:t xml:space="preserve">Credit granted for the preparation and defense of a collection of evidence by a student to demonstrate and validate college-level credit for learning acquired outside of the classroom. </w:t>
            </w:r>
          </w:p>
        </w:tc>
      </w:tr>
      <w:tr w:rsidR="00215FD0" w:rsidRPr="00215FD0" w:rsidTr="00A36E40">
        <w:tc>
          <w:tcPr>
            <w:tcW w:w="2773" w:type="dxa"/>
          </w:tcPr>
          <w:p w:rsidR="00302253" w:rsidRPr="00215FD0" w:rsidRDefault="00302253" w:rsidP="00975F60">
            <w:r>
              <w:t xml:space="preserve"> Institutional </w:t>
            </w:r>
            <w:r w:rsidRPr="00215FD0">
              <w:t>Challenge Exams</w:t>
            </w:r>
            <w:r>
              <w:t xml:space="preserve"> and other forms of assessment</w:t>
            </w:r>
          </w:p>
          <w:p w:rsidR="00D43F74" w:rsidRPr="00215FD0" w:rsidRDefault="00D43F74" w:rsidP="00D43F74"/>
        </w:tc>
        <w:tc>
          <w:tcPr>
            <w:tcW w:w="7415" w:type="dxa"/>
          </w:tcPr>
          <w:p w:rsidR="00D43F74" w:rsidRPr="00215FD0" w:rsidRDefault="00D43F74" w:rsidP="00D43F74">
            <w:r w:rsidRPr="00215FD0">
              <w:t xml:space="preserve">Credit granted </w:t>
            </w:r>
            <w:r w:rsidR="000457A3">
              <w:t>through</w:t>
            </w:r>
            <w:r w:rsidRPr="00215FD0">
              <w:t xml:space="preserve"> the assessment of course student learning offered by the institution.</w:t>
            </w:r>
          </w:p>
          <w:p w:rsidR="00D43F74" w:rsidRPr="00215FD0" w:rsidRDefault="00D43F74" w:rsidP="00D43F74"/>
          <w:p w:rsidR="00D43F74" w:rsidRPr="00215FD0" w:rsidRDefault="00D43F74" w:rsidP="00D43F74">
            <w:r w:rsidRPr="00215FD0">
              <w:t xml:space="preserve">Credit granted for tests of learning – including DSST / DANTES, CLEP, Excelsior, NYU Foreign Language, etc., </w:t>
            </w:r>
          </w:p>
        </w:tc>
      </w:tr>
      <w:tr w:rsidR="00215FD0" w:rsidRPr="00215FD0" w:rsidTr="00A36E40">
        <w:tc>
          <w:tcPr>
            <w:tcW w:w="2773" w:type="dxa"/>
          </w:tcPr>
          <w:p w:rsidR="00D43F74" w:rsidRDefault="00D43F74" w:rsidP="00D43F74">
            <w:r w:rsidRPr="00215FD0">
              <w:t>Military Credit</w:t>
            </w:r>
          </w:p>
          <w:p w:rsidR="000457A3" w:rsidRPr="00215FD0" w:rsidRDefault="000457A3" w:rsidP="00D43F74">
            <w:r>
              <w:t>(ACE Credit Recommendation Service)</w:t>
            </w:r>
          </w:p>
        </w:tc>
        <w:tc>
          <w:tcPr>
            <w:tcW w:w="7415" w:type="dxa"/>
          </w:tcPr>
          <w:p w:rsidR="00D43F74" w:rsidRPr="00215FD0" w:rsidRDefault="00D43F74" w:rsidP="00D43F74">
            <w:r w:rsidRPr="00215FD0">
              <w:t xml:space="preserve">Credit granted through evaluation of ACE published credit recommendations for formal instructional programs offered by non-collegiate agencies, both civilian employers and the military. </w:t>
            </w:r>
          </w:p>
          <w:p w:rsidR="00D43F74" w:rsidRPr="00215FD0" w:rsidRDefault="00D43F74" w:rsidP="00D43F74"/>
          <w:p w:rsidR="00D43F74" w:rsidRPr="00215FD0" w:rsidRDefault="00D43F74" w:rsidP="00D43F74">
            <w:r w:rsidRPr="00215FD0">
              <w:t xml:space="preserve">Or credit awarded through the evaluation of military experiential learning. </w:t>
            </w:r>
          </w:p>
        </w:tc>
      </w:tr>
      <w:tr w:rsidR="00215FD0" w:rsidRPr="00215FD0" w:rsidTr="00A36E40">
        <w:tc>
          <w:tcPr>
            <w:tcW w:w="2773" w:type="dxa"/>
          </w:tcPr>
          <w:p w:rsidR="00D43F74" w:rsidRPr="00215FD0" w:rsidRDefault="00D43F74" w:rsidP="00D43F74">
            <w:r w:rsidRPr="00215FD0">
              <w:t>International Baccalaureate</w:t>
            </w:r>
            <w:r w:rsidR="00714FCD">
              <w:t xml:space="preserve"> Program Exams</w:t>
            </w:r>
          </w:p>
        </w:tc>
        <w:tc>
          <w:tcPr>
            <w:tcW w:w="7415" w:type="dxa"/>
          </w:tcPr>
          <w:p w:rsidR="00D43F74" w:rsidRPr="00215FD0" w:rsidRDefault="00D43F74" w:rsidP="00D43F74">
            <w:r w:rsidRPr="00215FD0">
              <w:t xml:space="preserve">Credit granted for International Baccalaureate </w:t>
            </w:r>
          </w:p>
        </w:tc>
      </w:tr>
      <w:tr w:rsidR="00215FD0" w:rsidRPr="00215FD0" w:rsidTr="00A36E40">
        <w:tc>
          <w:tcPr>
            <w:tcW w:w="2773" w:type="dxa"/>
          </w:tcPr>
          <w:p w:rsidR="00D43F74" w:rsidRPr="00215FD0" w:rsidRDefault="00D43F74" w:rsidP="00D43F74">
            <w:r w:rsidRPr="00215FD0">
              <w:t>Advanced Placement Exams</w:t>
            </w:r>
          </w:p>
        </w:tc>
        <w:tc>
          <w:tcPr>
            <w:tcW w:w="7415" w:type="dxa"/>
          </w:tcPr>
          <w:p w:rsidR="00D43F74" w:rsidRPr="00215FD0" w:rsidRDefault="00D43F74" w:rsidP="00C7599F">
            <w:r w:rsidRPr="00215FD0">
              <w:t xml:space="preserve">Credit awarded </w:t>
            </w:r>
            <w:r w:rsidR="000457A3">
              <w:t>through</w:t>
            </w:r>
            <w:r w:rsidRPr="00215FD0">
              <w:t xml:space="preserve"> the evaluation of Advanced Placement Exam scores</w:t>
            </w:r>
          </w:p>
        </w:tc>
      </w:tr>
    </w:tbl>
    <w:p w:rsidR="00A36E40" w:rsidRDefault="00A36E40">
      <w:r>
        <w:br w:type="page"/>
      </w:r>
    </w:p>
    <w:tbl>
      <w:tblPr>
        <w:tblStyle w:val="TableGrid"/>
        <w:tblW w:w="0" w:type="auto"/>
        <w:tblInd w:w="108" w:type="dxa"/>
        <w:tblLook w:val="04A0" w:firstRow="1" w:lastRow="0" w:firstColumn="1" w:lastColumn="0" w:noHBand="0" w:noVBand="1"/>
      </w:tblPr>
      <w:tblGrid>
        <w:gridCol w:w="2773"/>
        <w:gridCol w:w="7415"/>
      </w:tblGrid>
      <w:tr w:rsidR="00215FD0" w:rsidRPr="00215FD0" w:rsidTr="00A36E40">
        <w:tc>
          <w:tcPr>
            <w:tcW w:w="2773" w:type="dxa"/>
          </w:tcPr>
          <w:p w:rsidR="00D43F74" w:rsidRPr="00215FD0" w:rsidRDefault="00D43F74" w:rsidP="00D43F74">
            <w:r w:rsidRPr="00215FD0">
              <w:lastRenderedPageBreak/>
              <w:t>Other Credit for Prior Learning</w:t>
            </w:r>
          </w:p>
        </w:tc>
        <w:tc>
          <w:tcPr>
            <w:tcW w:w="7415" w:type="dxa"/>
          </w:tcPr>
          <w:p w:rsidR="00D43F74" w:rsidRPr="00215FD0" w:rsidRDefault="00D43F74" w:rsidP="00D43F74">
            <w:r w:rsidRPr="00215FD0">
              <w:t>Credit granted for other prior learning experiences</w:t>
            </w:r>
          </w:p>
          <w:p w:rsidR="00D43F74" w:rsidRPr="00215FD0" w:rsidRDefault="00D43F74" w:rsidP="00D43F74">
            <w:r w:rsidRPr="00215FD0">
              <w:t xml:space="preserve">Not listed in other areas. </w:t>
            </w:r>
          </w:p>
          <w:p w:rsidR="00D43F74" w:rsidRPr="00215FD0" w:rsidRDefault="00D43F74" w:rsidP="00D43F74"/>
          <w:p w:rsidR="00D43F74" w:rsidRPr="00215FD0" w:rsidRDefault="00D43F74" w:rsidP="00D43F74">
            <w:r w:rsidRPr="00215FD0">
              <w:t>Such as credit granted for industry certifications for proof of applied knowledge and skills in an industry-identified area.</w:t>
            </w:r>
          </w:p>
        </w:tc>
      </w:tr>
    </w:tbl>
    <w:p w:rsidR="002B3FF2" w:rsidRDefault="002B3FF2" w:rsidP="00D43F74">
      <w:pPr>
        <w:rPr>
          <w:b/>
          <w:u w:val="single"/>
        </w:rPr>
      </w:pPr>
    </w:p>
    <w:p w:rsidR="00975F60" w:rsidRDefault="000B070F" w:rsidP="00D43F74">
      <w:r>
        <w:t>D</w:t>
      </w:r>
      <w:r w:rsidR="00C7599F">
        <w:t xml:space="preserve">ual Credit plays an important role in </w:t>
      </w:r>
      <w:r>
        <w:t>student completion. T</w:t>
      </w:r>
      <w:r w:rsidR="00C7599F">
        <w:t xml:space="preserve">he </w:t>
      </w:r>
      <w:r w:rsidR="00C7599F" w:rsidRPr="0018640E">
        <w:t>credit is earned simultaneously to the learning</w:t>
      </w:r>
      <w:r>
        <w:t>, t</w:t>
      </w:r>
      <w:r w:rsidR="00C7599F" w:rsidRPr="0018640E">
        <w:t xml:space="preserve">hus making this model for learning separate, yet </w:t>
      </w:r>
      <w:r w:rsidR="00C7599F">
        <w:t>parallel</w:t>
      </w:r>
      <w:r>
        <w:t xml:space="preserve"> to CPL in Oregon.</w:t>
      </w:r>
    </w:p>
    <w:p w:rsidR="00975F60" w:rsidRDefault="00975F60">
      <w:pPr>
        <w:spacing w:after="200" w:line="276" w:lineRule="auto"/>
      </w:pPr>
      <w:r>
        <w:br w:type="page"/>
      </w:r>
    </w:p>
    <w:p w:rsidR="00D43F74" w:rsidRPr="00215FD0" w:rsidRDefault="000B070F" w:rsidP="00D43F74">
      <w:pPr>
        <w:rPr>
          <w:b/>
          <w:u w:val="single"/>
        </w:rPr>
      </w:pPr>
      <w:r>
        <w:lastRenderedPageBreak/>
        <w:t xml:space="preserve"> </w:t>
      </w:r>
    </w:p>
    <w:p w:rsidR="00D43F74" w:rsidRPr="00215FD0" w:rsidRDefault="00D43F74" w:rsidP="00D43F74">
      <w:pPr>
        <w:jc w:val="center"/>
        <w:rPr>
          <w:b/>
        </w:rPr>
      </w:pPr>
      <w:r w:rsidRPr="00215FD0">
        <w:rPr>
          <w:b/>
        </w:rPr>
        <w:t>Higher Education Coordinating Commission</w:t>
      </w:r>
    </w:p>
    <w:p w:rsidR="00D43F74" w:rsidRPr="00215FD0" w:rsidRDefault="00D43F74" w:rsidP="00D43F74">
      <w:pPr>
        <w:jc w:val="center"/>
        <w:rPr>
          <w:b/>
        </w:rPr>
      </w:pPr>
      <w:r w:rsidRPr="00215FD0">
        <w:rPr>
          <w:b/>
        </w:rPr>
        <w:t xml:space="preserve">Credit for Prior Learning Standards </w:t>
      </w:r>
    </w:p>
    <w:p w:rsidR="00D43F74" w:rsidRPr="00215FD0" w:rsidRDefault="00D43F74" w:rsidP="00D43F74">
      <w:pPr>
        <w:jc w:val="center"/>
        <w:rPr>
          <w:b/>
        </w:rPr>
      </w:pPr>
    </w:p>
    <w:p w:rsidR="00D43F74" w:rsidRPr="00215FD0" w:rsidRDefault="00D43F74" w:rsidP="00D43F74">
      <w:pPr>
        <w:rPr>
          <w:b/>
        </w:rPr>
      </w:pPr>
      <w:r w:rsidRPr="00215FD0">
        <w:rPr>
          <w:b/>
        </w:rPr>
        <w:t xml:space="preserve">Standard 6:   Faculty and Staff Development </w:t>
      </w:r>
    </w:p>
    <w:p w:rsidR="00D43F74" w:rsidRPr="00215FD0" w:rsidRDefault="00D43F74" w:rsidP="00D43F74"/>
    <w:p w:rsidR="00D43F74" w:rsidRPr="00215FD0" w:rsidRDefault="00D43F74" w:rsidP="00EB08CB">
      <w:r w:rsidRPr="00215FD0">
        <w:t xml:space="preserve">Institutions shall develop a policy and strategic plan for </w:t>
      </w:r>
      <w:r w:rsidR="00694B4F">
        <w:t>f</w:t>
      </w:r>
      <w:r w:rsidRPr="00215FD0">
        <w:t xml:space="preserve">aculty and </w:t>
      </w:r>
      <w:r w:rsidR="00694B4F">
        <w:t>s</w:t>
      </w:r>
      <w:r w:rsidRPr="00215FD0">
        <w:t xml:space="preserve">taff </w:t>
      </w:r>
      <w:r w:rsidR="00694B4F">
        <w:t>d</w:t>
      </w:r>
      <w:r w:rsidRPr="00215FD0">
        <w:t xml:space="preserve">evelopment for granting </w:t>
      </w:r>
      <w:r w:rsidR="007C4148">
        <w:t>CPL</w:t>
      </w:r>
      <w:r w:rsidRPr="00215FD0">
        <w:t xml:space="preserve">. Widespread, overarching knowledge of the institutional opportunities for developing, assessing and recommending </w:t>
      </w:r>
      <w:r w:rsidR="007C4148">
        <w:t>CPL</w:t>
      </w:r>
      <w:r w:rsidRPr="00215FD0">
        <w:t xml:space="preserve"> should be foundational to this plan. </w:t>
      </w:r>
    </w:p>
    <w:p w:rsidR="00A36E40" w:rsidRDefault="00A36E40" w:rsidP="00A36E40"/>
    <w:p w:rsidR="000A003F" w:rsidRDefault="000A003F" w:rsidP="00A36E40"/>
    <w:p w:rsidR="00A36E40" w:rsidRPr="000A003F" w:rsidRDefault="00A36E40" w:rsidP="00A36E40">
      <w:pPr>
        <w:rPr>
          <w:rFonts w:eastAsiaTheme="minorHAnsi"/>
          <w:b/>
          <w:i/>
        </w:rPr>
      </w:pPr>
      <w:r w:rsidRPr="000A003F">
        <w:rPr>
          <w:rFonts w:eastAsiaTheme="minorHAnsi"/>
          <w:b/>
          <w:i/>
        </w:rPr>
        <w:t>Please provide comments or institutional feedback regarding this standard:</w:t>
      </w:r>
    </w:p>
    <w:tbl>
      <w:tblPr>
        <w:tblStyle w:val="TableGrid"/>
        <w:tblW w:w="10176" w:type="dxa"/>
        <w:tblInd w:w="135" w:type="dxa"/>
        <w:tblLook w:val="04A0" w:firstRow="1" w:lastRow="0" w:firstColumn="1" w:lastColumn="0" w:noHBand="0" w:noVBand="1"/>
      </w:tblPr>
      <w:tblGrid>
        <w:gridCol w:w="10176"/>
      </w:tblGrid>
      <w:tr w:rsidR="00A36E40" w:rsidTr="001A4D3A">
        <w:trPr>
          <w:trHeight w:val="1907"/>
        </w:trPr>
        <w:tc>
          <w:tcPr>
            <w:tcW w:w="10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6E40" w:rsidRDefault="00A36E40" w:rsidP="001A4D3A">
            <w:pPr>
              <w:rPr>
                <w:rFonts w:eastAsiaTheme="minorHAnsi"/>
              </w:rPr>
            </w:pPr>
          </w:p>
        </w:tc>
      </w:tr>
    </w:tbl>
    <w:p w:rsidR="00A36E40" w:rsidRDefault="000A003F" w:rsidP="00A36E40">
      <w:pPr>
        <w:rPr>
          <w:rFonts w:eastAsiaTheme="minorHAnsi"/>
        </w:rPr>
      </w:pPr>
      <w:r>
        <w:rPr>
          <w:rFonts w:eastAsiaTheme="minorHAnsi"/>
        </w:rPr>
        <w:t xml:space="preserve"> </w:t>
      </w:r>
    </w:p>
    <w:p w:rsidR="000A003F" w:rsidRDefault="000A003F" w:rsidP="00A36E40">
      <w:pPr>
        <w:rPr>
          <w:rFonts w:eastAsiaTheme="minorHAnsi"/>
        </w:rPr>
      </w:pPr>
    </w:p>
    <w:p w:rsidR="00D43F74" w:rsidRPr="00215FD0" w:rsidRDefault="00D43F74" w:rsidP="00D43F74">
      <w:pPr>
        <w:rPr>
          <w:b/>
          <w:u w:val="single"/>
        </w:rPr>
      </w:pPr>
      <w:r w:rsidRPr="00215FD0">
        <w:rPr>
          <w:b/>
          <w:u w:val="single"/>
        </w:rPr>
        <w:t xml:space="preserve">Resources:  </w:t>
      </w:r>
    </w:p>
    <w:p w:rsidR="00D43F74" w:rsidRPr="00215FD0" w:rsidRDefault="00D43F74" w:rsidP="00D43F74">
      <w:pPr>
        <w:rPr>
          <w:b/>
          <w:u w:val="single"/>
        </w:rPr>
      </w:pPr>
    </w:p>
    <w:p w:rsidR="00D43F74" w:rsidRPr="00531FA2" w:rsidRDefault="00531FA2" w:rsidP="00D43F74">
      <w:r w:rsidRPr="00531FA2">
        <w:rPr>
          <w:color w:val="252525"/>
        </w:rPr>
        <w:t xml:space="preserve">All personnel involved in the assessment of learning should pursue and receive adequate training and continuing professional development for the functions they perform. </w:t>
      </w:r>
      <w:proofErr w:type="gramStart"/>
      <w:r w:rsidRPr="00531FA2">
        <w:rPr>
          <w:color w:val="252525"/>
        </w:rPr>
        <w:t>(</w:t>
      </w:r>
      <w:r w:rsidRPr="00531FA2">
        <w:t>CAEL Ten Standards for Assessing Learning).</w:t>
      </w:r>
      <w:proofErr w:type="gramEnd"/>
    </w:p>
    <w:p w:rsidR="00531FA2" w:rsidRPr="00215FD0" w:rsidRDefault="00531FA2" w:rsidP="00D43F74"/>
    <w:p w:rsidR="00531FA2" w:rsidRPr="00644413" w:rsidRDefault="00531FA2" w:rsidP="00531FA2">
      <w:pPr>
        <w:spacing w:line="276" w:lineRule="auto"/>
      </w:pPr>
      <w:r w:rsidRPr="00644413">
        <w:t xml:space="preserve">Northwest Commission on Colleges and Universities Standards: </w:t>
      </w:r>
    </w:p>
    <w:tbl>
      <w:tblPr>
        <w:tblW w:w="4567" w:type="pct"/>
        <w:tblCellSpacing w:w="12" w:type="dxa"/>
        <w:tblInd w:w="444" w:type="dxa"/>
        <w:tblCellMar>
          <w:top w:w="60" w:type="dxa"/>
          <w:left w:w="60" w:type="dxa"/>
          <w:bottom w:w="60" w:type="dxa"/>
          <w:right w:w="60" w:type="dxa"/>
        </w:tblCellMar>
        <w:tblLook w:val="04A0" w:firstRow="1" w:lastRow="0" w:firstColumn="1" w:lastColumn="0" w:noHBand="0" w:noVBand="1"/>
      </w:tblPr>
      <w:tblGrid>
        <w:gridCol w:w="996"/>
        <w:gridCol w:w="8365"/>
      </w:tblGrid>
      <w:tr w:rsidR="00531FA2" w:rsidRPr="00644413" w:rsidTr="00531FA2">
        <w:trPr>
          <w:tblCellSpacing w:w="12" w:type="dxa"/>
        </w:trPr>
        <w:tc>
          <w:tcPr>
            <w:tcW w:w="513" w:type="pct"/>
            <w:hideMark/>
          </w:tcPr>
          <w:p w:rsidR="00531FA2" w:rsidRPr="00644413" w:rsidRDefault="00531FA2" w:rsidP="00EB141C">
            <w:r w:rsidRPr="00644413">
              <w:t>2.C.7</w:t>
            </w:r>
          </w:p>
        </w:tc>
        <w:tc>
          <w:tcPr>
            <w:tcW w:w="4448" w:type="pct"/>
            <w:hideMark/>
          </w:tcPr>
          <w:p w:rsidR="00531FA2" w:rsidRPr="00644413" w:rsidRDefault="00694B4F" w:rsidP="00975F60">
            <w:pPr>
              <w:ind w:left="102"/>
            </w:pPr>
            <w:r w:rsidRPr="00644413">
              <w:t>Credit</w:t>
            </w:r>
            <w:r w:rsidR="00531FA2" w:rsidRPr="00644413">
              <w:t xml:space="preserve"> for prior experiential learning, if granted, is: a) guided by approved policies and procedures; b) awarded only at the undergraduate level to enrolled students; c) limited to a maximum of 25% of the credits needed for a degree; d) awarded only for documented student achievement equivalent to expected learning achievement for courses within the institution’s regular curricular offerings; and e) granted only upon the recommendation of appropriately qualified teaching faculty. Credit granted for prior experiential learning is so identified on students’ transcripts and may not duplicate other credit awarded to the student in fulfillment of degree requirements. The institution makes no assurances regarding the number of credits to be awarded prior to the completion of the institution’s review process.</w:t>
            </w:r>
          </w:p>
        </w:tc>
      </w:tr>
    </w:tbl>
    <w:p w:rsidR="00D43F74" w:rsidRPr="00215FD0" w:rsidRDefault="00D43F74" w:rsidP="00D43F74"/>
    <w:p w:rsidR="00D43F74" w:rsidRPr="00215FD0" w:rsidRDefault="00D43F74" w:rsidP="00D43F74"/>
    <w:p w:rsidR="00D43F74" w:rsidRPr="00215FD0" w:rsidRDefault="00D43F74" w:rsidP="00D43F74"/>
    <w:p w:rsidR="00D43F74" w:rsidRPr="00D602E8" w:rsidRDefault="00D43F74" w:rsidP="00D602E8">
      <w:pPr>
        <w:jc w:val="center"/>
        <w:rPr>
          <w:b/>
          <w:u w:val="single"/>
        </w:rPr>
      </w:pPr>
      <w:r w:rsidRPr="00215FD0">
        <w:rPr>
          <w:b/>
          <w:u w:val="single"/>
        </w:rPr>
        <w:br w:type="page"/>
      </w:r>
      <w:r w:rsidRPr="00215FD0">
        <w:rPr>
          <w:b/>
        </w:rPr>
        <w:lastRenderedPageBreak/>
        <w:t>Higher Education Coordinating Commission</w:t>
      </w:r>
    </w:p>
    <w:p w:rsidR="00D43F74" w:rsidRPr="00215FD0" w:rsidRDefault="00D43F74" w:rsidP="00D43F74">
      <w:pPr>
        <w:jc w:val="center"/>
        <w:rPr>
          <w:b/>
        </w:rPr>
      </w:pPr>
      <w:r w:rsidRPr="00215FD0">
        <w:rPr>
          <w:b/>
        </w:rPr>
        <w:t xml:space="preserve">Credit for Prior Learning Standards </w:t>
      </w:r>
    </w:p>
    <w:p w:rsidR="00D43F74" w:rsidRPr="00215FD0" w:rsidRDefault="00D43F74" w:rsidP="00D43F74">
      <w:pPr>
        <w:jc w:val="center"/>
        <w:rPr>
          <w:b/>
        </w:rPr>
      </w:pPr>
    </w:p>
    <w:p w:rsidR="00D43F74" w:rsidRPr="00215FD0" w:rsidRDefault="00D43F74" w:rsidP="00D43F74">
      <w:pPr>
        <w:rPr>
          <w:b/>
        </w:rPr>
      </w:pPr>
      <w:r w:rsidRPr="00215FD0">
        <w:rPr>
          <w:b/>
        </w:rPr>
        <w:t xml:space="preserve">Standard 7:  </w:t>
      </w:r>
      <w:r w:rsidR="00EB08CB" w:rsidRPr="00215FD0">
        <w:rPr>
          <w:b/>
        </w:rPr>
        <w:t>Oversight</w:t>
      </w:r>
      <w:r w:rsidRPr="00215FD0">
        <w:rPr>
          <w:b/>
        </w:rPr>
        <w:t xml:space="preserve"> </w:t>
      </w:r>
    </w:p>
    <w:p w:rsidR="00D43F74" w:rsidRPr="00215FD0" w:rsidRDefault="00D43F74" w:rsidP="00D43F74">
      <w:pPr>
        <w:tabs>
          <w:tab w:val="left" w:pos="3840"/>
        </w:tabs>
      </w:pPr>
      <w:r w:rsidRPr="00215FD0">
        <w:tab/>
      </w:r>
    </w:p>
    <w:p w:rsidR="00D43F74" w:rsidRPr="00215FD0" w:rsidRDefault="00D43F74" w:rsidP="00EB08CB">
      <w:r w:rsidRPr="00215FD0">
        <w:t xml:space="preserve">Institutions granting </w:t>
      </w:r>
      <w:r w:rsidR="007C4148">
        <w:t>CPL</w:t>
      </w:r>
      <w:r w:rsidRPr="00215FD0">
        <w:t xml:space="preserve"> shall organize a cross-functional </w:t>
      </w:r>
      <w:r w:rsidR="00A36E40">
        <w:t>CPL</w:t>
      </w:r>
      <w:r w:rsidR="00A36E40" w:rsidRPr="00215FD0">
        <w:t xml:space="preserve"> Leadership</w:t>
      </w:r>
      <w:r w:rsidR="00A36E40">
        <w:t xml:space="preserve"> </w:t>
      </w:r>
      <w:r w:rsidR="00A36E40" w:rsidRPr="00215FD0">
        <w:t xml:space="preserve">Team </w:t>
      </w:r>
      <w:r w:rsidRPr="00215FD0">
        <w:t>(student services</w:t>
      </w:r>
      <w:r w:rsidR="00A36E40">
        <w:t>, instruction, registrar, etc.)</w:t>
      </w:r>
      <w:r w:rsidR="00215FD0">
        <w:t xml:space="preserve">. The team shall </w:t>
      </w:r>
      <w:r w:rsidRPr="00215FD0">
        <w:t xml:space="preserve">be responsible for conducting ongoing evaluations of institutional </w:t>
      </w:r>
      <w:r w:rsidR="007C4148">
        <w:t>CPL</w:t>
      </w:r>
      <w:r w:rsidRPr="00215FD0">
        <w:t xml:space="preserve"> policies, standards, procedures, and practices. </w:t>
      </w:r>
      <w:r w:rsidR="00975F60">
        <w:t xml:space="preserve">The team will also be responsible for an evaluation of the performance of students granted credit for prior learning, in later classes within the same field, as well as overall academic performance. </w:t>
      </w:r>
      <w:r w:rsidRPr="00215FD0">
        <w:t xml:space="preserve">The </w:t>
      </w:r>
      <w:r w:rsidR="002616DF">
        <w:t xml:space="preserve">HECC </w:t>
      </w:r>
      <w:r w:rsidRPr="00215FD0">
        <w:t xml:space="preserve">shall review the accomplishments of each team </w:t>
      </w:r>
      <w:r w:rsidR="00EB08CB" w:rsidRPr="00215FD0">
        <w:t xml:space="preserve">through a periodic audit process </w:t>
      </w:r>
      <w:r w:rsidRPr="00215FD0">
        <w:t>to ensure credit is awarded for high</w:t>
      </w:r>
      <w:r w:rsidR="00EB08CB" w:rsidRPr="00215FD0">
        <w:t xml:space="preserve"> quality assessment activities. </w:t>
      </w:r>
    </w:p>
    <w:p w:rsidR="00A36E40" w:rsidRDefault="00A36E40" w:rsidP="00A36E40"/>
    <w:p w:rsidR="000A003F" w:rsidRDefault="000A003F" w:rsidP="00A36E40"/>
    <w:p w:rsidR="00A36E40" w:rsidRPr="000A003F" w:rsidRDefault="00A36E40" w:rsidP="00A36E40">
      <w:pPr>
        <w:rPr>
          <w:rFonts w:eastAsiaTheme="minorHAnsi"/>
          <w:b/>
          <w:i/>
        </w:rPr>
      </w:pPr>
      <w:r w:rsidRPr="000A003F">
        <w:rPr>
          <w:rFonts w:eastAsiaTheme="minorHAnsi"/>
          <w:b/>
          <w:i/>
        </w:rPr>
        <w:t>Please provide comments or institutional feedback regarding this standard:</w:t>
      </w:r>
    </w:p>
    <w:tbl>
      <w:tblPr>
        <w:tblStyle w:val="TableGrid"/>
        <w:tblW w:w="10176" w:type="dxa"/>
        <w:tblInd w:w="135" w:type="dxa"/>
        <w:tblLook w:val="04A0" w:firstRow="1" w:lastRow="0" w:firstColumn="1" w:lastColumn="0" w:noHBand="0" w:noVBand="1"/>
      </w:tblPr>
      <w:tblGrid>
        <w:gridCol w:w="10176"/>
      </w:tblGrid>
      <w:tr w:rsidR="00A36E40" w:rsidTr="001A4D3A">
        <w:trPr>
          <w:trHeight w:val="1907"/>
        </w:trPr>
        <w:tc>
          <w:tcPr>
            <w:tcW w:w="10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6E40" w:rsidRDefault="00A36E40" w:rsidP="001A4D3A">
            <w:pPr>
              <w:rPr>
                <w:rFonts w:eastAsiaTheme="minorHAnsi"/>
              </w:rPr>
            </w:pPr>
          </w:p>
        </w:tc>
      </w:tr>
    </w:tbl>
    <w:p w:rsidR="00A36E40" w:rsidRDefault="00A36E40" w:rsidP="00A36E40">
      <w:pPr>
        <w:rPr>
          <w:rFonts w:eastAsiaTheme="minorHAnsi"/>
        </w:rPr>
      </w:pPr>
    </w:p>
    <w:p w:rsidR="000A003F" w:rsidRDefault="000A003F" w:rsidP="00A36E40">
      <w:pPr>
        <w:rPr>
          <w:rFonts w:eastAsiaTheme="minorHAnsi"/>
        </w:rPr>
      </w:pPr>
    </w:p>
    <w:p w:rsidR="00D43F74" w:rsidRPr="00215FD0" w:rsidRDefault="00215FD0" w:rsidP="00D43F74">
      <w:pPr>
        <w:rPr>
          <w:b/>
          <w:u w:val="single"/>
        </w:rPr>
      </w:pPr>
      <w:r>
        <w:rPr>
          <w:b/>
          <w:u w:val="single"/>
        </w:rPr>
        <w:t>Resources</w:t>
      </w:r>
      <w:r w:rsidR="00D43F74" w:rsidRPr="00215FD0">
        <w:rPr>
          <w:b/>
          <w:u w:val="single"/>
        </w:rPr>
        <w:t xml:space="preserve">:  </w:t>
      </w:r>
    </w:p>
    <w:p w:rsidR="00D43F74" w:rsidRPr="00215FD0" w:rsidRDefault="00D43F74" w:rsidP="00D43F74">
      <w:pPr>
        <w:rPr>
          <w:b/>
          <w:u w:val="single"/>
        </w:rPr>
      </w:pPr>
    </w:p>
    <w:p w:rsidR="0023651D" w:rsidRDefault="0023651D" w:rsidP="0023651D">
      <w:pPr>
        <w:tabs>
          <w:tab w:val="left" w:pos="252"/>
        </w:tabs>
      </w:pPr>
      <w:r w:rsidRPr="0023651D">
        <w:rPr>
          <w:bCs/>
        </w:rPr>
        <w:t>Tennessee</w:t>
      </w:r>
      <w:r w:rsidRPr="0023651D">
        <w:t xml:space="preserve"> Prior Learning Assessment Task Force made recommendations for “</w:t>
      </w:r>
      <w:r>
        <w:t xml:space="preserve">the Periodic review of PLA policies”. </w:t>
      </w:r>
      <w:r w:rsidRPr="0023651D">
        <w:rPr>
          <w:bCs/>
          <w:sz w:val="23"/>
          <w:szCs w:val="23"/>
        </w:rPr>
        <w:t xml:space="preserve">These recommendations can be found </w:t>
      </w:r>
      <w:r>
        <w:rPr>
          <w:bCs/>
          <w:sz w:val="23"/>
          <w:szCs w:val="23"/>
        </w:rPr>
        <w:t xml:space="preserve">on page 13 </w:t>
      </w:r>
      <w:r w:rsidRPr="0023651D">
        <w:t>of the 2012 Recommended Standards Report:</w:t>
      </w:r>
    </w:p>
    <w:p w:rsidR="0023651D" w:rsidRPr="0023651D" w:rsidRDefault="0023651D" w:rsidP="0023651D">
      <w:pPr>
        <w:tabs>
          <w:tab w:val="left" w:pos="252"/>
        </w:tabs>
      </w:pPr>
    </w:p>
    <w:p w:rsidR="0023651D" w:rsidRDefault="00F84B98" w:rsidP="0023651D">
      <w:pPr>
        <w:tabs>
          <w:tab w:val="left" w:pos="252"/>
        </w:tabs>
      </w:pPr>
      <w:hyperlink r:id="rId15" w:history="1">
        <w:r w:rsidR="0023651D" w:rsidRPr="00085FDE">
          <w:rPr>
            <w:rStyle w:val="Hyperlink"/>
          </w:rPr>
          <w:t>http://www.insidehighered.com/sites/default/server_files/files/Recommendations%20for%20Standards%20in%20PLA%20-%20Final%20Version%201-1.pdf</w:t>
        </w:r>
      </w:hyperlink>
    </w:p>
    <w:p w:rsidR="0023651D" w:rsidRPr="00215FD0" w:rsidRDefault="0023651D" w:rsidP="002B3FF2">
      <w:pPr>
        <w:spacing w:line="276" w:lineRule="auto"/>
      </w:pPr>
    </w:p>
    <w:p w:rsidR="0023651D" w:rsidRPr="0023651D" w:rsidRDefault="0023651D" w:rsidP="0023651D">
      <w:pPr>
        <w:autoSpaceDE w:val="0"/>
        <w:autoSpaceDN w:val="0"/>
        <w:adjustRightInd w:val="0"/>
        <w:rPr>
          <w:rFonts w:ascii="Calibri" w:eastAsiaTheme="minorHAnsi" w:hAnsi="Calibri" w:cs="Calibri"/>
          <w:color w:val="000000"/>
        </w:rPr>
      </w:pPr>
    </w:p>
    <w:p w:rsidR="00D43F74" w:rsidRPr="00215FD0" w:rsidRDefault="00D43F74" w:rsidP="00D43F74">
      <w:pPr>
        <w:rPr>
          <w:b/>
          <w:u w:val="single"/>
        </w:rPr>
      </w:pPr>
      <w:r w:rsidRPr="00215FD0">
        <w:rPr>
          <w:b/>
          <w:u w:val="single"/>
        </w:rPr>
        <w:br w:type="page"/>
      </w:r>
    </w:p>
    <w:p w:rsidR="00D43F74" w:rsidRPr="00215FD0" w:rsidRDefault="00D43F74" w:rsidP="00D43F74">
      <w:pPr>
        <w:jc w:val="center"/>
        <w:rPr>
          <w:b/>
        </w:rPr>
      </w:pPr>
      <w:r w:rsidRPr="00215FD0">
        <w:rPr>
          <w:b/>
        </w:rPr>
        <w:lastRenderedPageBreak/>
        <w:t>Higher Education Coordinating Commission</w:t>
      </w:r>
    </w:p>
    <w:p w:rsidR="00D43F74" w:rsidRPr="00215FD0" w:rsidRDefault="00D43F74" w:rsidP="00D43F74">
      <w:pPr>
        <w:jc w:val="center"/>
        <w:rPr>
          <w:b/>
        </w:rPr>
      </w:pPr>
      <w:r w:rsidRPr="00215FD0">
        <w:rPr>
          <w:b/>
        </w:rPr>
        <w:t xml:space="preserve">Credit for Prior Learning Standards </w:t>
      </w:r>
    </w:p>
    <w:p w:rsidR="00D43F74" w:rsidRPr="00215FD0" w:rsidRDefault="00D43F74" w:rsidP="00D43F74">
      <w:pPr>
        <w:jc w:val="center"/>
        <w:rPr>
          <w:b/>
        </w:rPr>
      </w:pPr>
    </w:p>
    <w:p w:rsidR="00D43F74" w:rsidRPr="00215FD0" w:rsidRDefault="00D43F74" w:rsidP="00D43F74">
      <w:pPr>
        <w:rPr>
          <w:b/>
        </w:rPr>
      </w:pPr>
      <w:r w:rsidRPr="00215FD0">
        <w:rPr>
          <w:b/>
        </w:rPr>
        <w:t xml:space="preserve">Standard 8:  Transparency/Access </w:t>
      </w:r>
    </w:p>
    <w:p w:rsidR="00D43F74" w:rsidRPr="00215FD0" w:rsidRDefault="00D43F74" w:rsidP="00D43F74"/>
    <w:p w:rsidR="00D43F74" w:rsidRPr="00215FD0" w:rsidRDefault="005058B7" w:rsidP="00215FD0">
      <w:r>
        <w:t xml:space="preserve">8.1 </w:t>
      </w:r>
      <w:r w:rsidR="00D43F74" w:rsidRPr="00215FD0">
        <w:t>Instituti</w:t>
      </w:r>
      <w:r w:rsidR="00E710BF">
        <w:t xml:space="preserve">onal CPL policies </w:t>
      </w:r>
      <w:r w:rsidR="00D43F74" w:rsidRPr="00215FD0">
        <w:t xml:space="preserve">shall </w:t>
      </w:r>
      <w:r w:rsidR="002616DF">
        <w:t>clearly communicate to</w:t>
      </w:r>
      <w:r w:rsidR="00E710BF">
        <w:t xml:space="preserve"> </w:t>
      </w:r>
      <w:r w:rsidR="00045CCA" w:rsidRPr="00215FD0">
        <w:t>students, faculty, staff and stakeholders</w:t>
      </w:r>
      <w:r w:rsidR="00E710BF">
        <w:t xml:space="preserve">. </w:t>
      </w:r>
      <w:r w:rsidR="00D43F74" w:rsidRPr="00215FD0">
        <w:t>Information</w:t>
      </w:r>
      <w:r w:rsidR="002616DF">
        <w:t xml:space="preserve"> must </w:t>
      </w:r>
      <w:r w:rsidR="00D43F74" w:rsidRPr="00215FD0">
        <w:t xml:space="preserve">be </w:t>
      </w:r>
      <w:r w:rsidR="002616DF">
        <w:t>available</w:t>
      </w:r>
      <w:r w:rsidR="00D43F74" w:rsidRPr="00215FD0">
        <w:t xml:space="preserve"> electronically at all institutions and be searchable using the term “</w:t>
      </w:r>
      <w:r w:rsidR="002616DF">
        <w:t>Credit for Prior Learning</w:t>
      </w:r>
      <w:r w:rsidR="00D43F74" w:rsidRPr="00215FD0">
        <w:t xml:space="preserve">”. </w:t>
      </w:r>
      <w:r w:rsidR="00045CCA" w:rsidRPr="00215FD0">
        <w:t>Information on how to access the following shall be included:</w:t>
      </w:r>
    </w:p>
    <w:p w:rsidR="00215FD0" w:rsidRPr="00215FD0" w:rsidRDefault="00215FD0" w:rsidP="00215FD0"/>
    <w:p w:rsidR="00045CCA" w:rsidRPr="00215FD0" w:rsidRDefault="00045CCA" w:rsidP="00045CCA">
      <w:pPr>
        <w:pStyle w:val="ListParagraph"/>
        <w:numPr>
          <w:ilvl w:val="0"/>
          <w:numId w:val="7"/>
        </w:numPr>
        <w:spacing w:line="480" w:lineRule="auto"/>
      </w:pPr>
      <w:r w:rsidRPr="00215FD0">
        <w:t xml:space="preserve">Institutional </w:t>
      </w:r>
      <w:r w:rsidR="007C4148">
        <w:t>CPL</w:t>
      </w:r>
      <w:r w:rsidRPr="00215FD0">
        <w:t xml:space="preserve"> </w:t>
      </w:r>
      <w:r w:rsidR="002616DF">
        <w:t>c</w:t>
      </w:r>
      <w:r w:rsidRPr="00215FD0">
        <w:t>ontacts;</w:t>
      </w:r>
    </w:p>
    <w:p w:rsidR="00045CCA" w:rsidRPr="00215FD0" w:rsidRDefault="00045CCA" w:rsidP="00045CCA">
      <w:pPr>
        <w:pStyle w:val="ListParagraph"/>
        <w:numPr>
          <w:ilvl w:val="0"/>
          <w:numId w:val="7"/>
        </w:numPr>
        <w:spacing w:line="480" w:lineRule="auto"/>
      </w:pPr>
      <w:r w:rsidRPr="00215FD0">
        <w:t>Tuition and Fee Structure(s); and</w:t>
      </w:r>
    </w:p>
    <w:p w:rsidR="005058B7" w:rsidRPr="00215FD0" w:rsidRDefault="00045CCA" w:rsidP="005058B7">
      <w:pPr>
        <w:pStyle w:val="ListParagraph"/>
        <w:numPr>
          <w:ilvl w:val="0"/>
          <w:numId w:val="7"/>
        </w:numPr>
        <w:spacing w:line="480" w:lineRule="auto"/>
      </w:pPr>
      <w:r w:rsidRPr="00215FD0">
        <w:t xml:space="preserve">Available </w:t>
      </w:r>
      <w:r w:rsidR="007C4148">
        <w:t>CPL</w:t>
      </w:r>
      <w:r w:rsidRPr="00215FD0">
        <w:t xml:space="preserve"> opportunities. </w:t>
      </w:r>
    </w:p>
    <w:p w:rsidR="005058B7" w:rsidRDefault="005058B7" w:rsidP="00D43F74">
      <w:r w:rsidRPr="00975F60">
        <w:t xml:space="preserve">8.2 Processes must be in place for a student to request CPL for a course offered by the institution. </w:t>
      </w:r>
    </w:p>
    <w:p w:rsidR="00A36E40" w:rsidRPr="000A003F" w:rsidRDefault="00A36E40" w:rsidP="00A36E40">
      <w:pPr>
        <w:rPr>
          <w:b/>
          <w:i/>
        </w:rPr>
      </w:pPr>
    </w:p>
    <w:p w:rsidR="00A36E40" w:rsidRPr="000A003F" w:rsidRDefault="00A36E40" w:rsidP="00A36E40">
      <w:pPr>
        <w:rPr>
          <w:rFonts w:eastAsiaTheme="minorHAnsi"/>
          <w:b/>
          <w:i/>
        </w:rPr>
      </w:pPr>
      <w:r w:rsidRPr="000A003F">
        <w:rPr>
          <w:rFonts w:eastAsiaTheme="minorHAnsi"/>
          <w:b/>
          <w:i/>
        </w:rPr>
        <w:t>Please provide comments or institutional feedback regarding this standard:</w:t>
      </w:r>
    </w:p>
    <w:tbl>
      <w:tblPr>
        <w:tblStyle w:val="TableGrid"/>
        <w:tblW w:w="10176" w:type="dxa"/>
        <w:tblInd w:w="135" w:type="dxa"/>
        <w:tblLook w:val="04A0" w:firstRow="1" w:lastRow="0" w:firstColumn="1" w:lastColumn="0" w:noHBand="0" w:noVBand="1"/>
      </w:tblPr>
      <w:tblGrid>
        <w:gridCol w:w="10176"/>
      </w:tblGrid>
      <w:tr w:rsidR="00A36E40" w:rsidTr="001A4D3A">
        <w:trPr>
          <w:trHeight w:val="1907"/>
        </w:trPr>
        <w:tc>
          <w:tcPr>
            <w:tcW w:w="10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6E40" w:rsidRDefault="00A36E40" w:rsidP="001A4D3A">
            <w:pPr>
              <w:rPr>
                <w:rFonts w:eastAsiaTheme="minorHAnsi"/>
              </w:rPr>
            </w:pPr>
          </w:p>
        </w:tc>
      </w:tr>
    </w:tbl>
    <w:p w:rsidR="00A36E40" w:rsidRDefault="00A36E40" w:rsidP="00A36E40">
      <w:pPr>
        <w:rPr>
          <w:rFonts w:eastAsiaTheme="minorHAnsi"/>
        </w:rPr>
      </w:pPr>
    </w:p>
    <w:p w:rsidR="00D43F74" w:rsidRDefault="00045CCA" w:rsidP="00D43F74">
      <w:pPr>
        <w:rPr>
          <w:b/>
          <w:u w:val="single"/>
        </w:rPr>
      </w:pPr>
      <w:r>
        <w:rPr>
          <w:b/>
          <w:u w:val="single"/>
        </w:rPr>
        <w:t>Resources</w:t>
      </w:r>
      <w:r w:rsidR="00D43F74" w:rsidRPr="008967AF">
        <w:rPr>
          <w:b/>
          <w:u w:val="single"/>
        </w:rPr>
        <w:t xml:space="preserve">:  </w:t>
      </w:r>
    </w:p>
    <w:p w:rsidR="00D43F74" w:rsidRDefault="00D43F74" w:rsidP="00D43F74">
      <w:pPr>
        <w:rPr>
          <w:b/>
          <w:u w:val="single"/>
        </w:rPr>
      </w:pPr>
    </w:p>
    <w:p w:rsidR="0023651D" w:rsidRDefault="00A521AD" w:rsidP="00A521AD">
      <w:pPr>
        <w:tabs>
          <w:tab w:val="left" w:pos="252"/>
        </w:tabs>
      </w:pPr>
      <w:r w:rsidRPr="0023651D">
        <w:rPr>
          <w:bCs/>
        </w:rPr>
        <w:t>Tennessee</w:t>
      </w:r>
      <w:r w:rsidRPr="0023651D">
        <w:t xml:space="preserve"> Prior Learning Assessment Task Force made recommendations for “Ma</w:t>
      </w:r>
      <w:r w:rsidRPr="0023651D">
        <w:rPr>
          <w:bCs/>
          <w:sz w:val="23"/>
          <w:szCs w:val="23"/>
        </w:rPr>
        <w:t>intaining Transparency and Consistency” These recommendations can be found on pages 1</w:t>
      </w:r>
      <w:r w:rsidRPr="0023651D">
        <w:t xml:space="preserve">3-14 of the 2012 </w:t>
      </w:r>
      <w:r w:rsidR="0023651D" w:rsidRPr="0023651D">
        <w:t>Recommended Standards Report:</w:t>
      </w:r>
    </w:p>
    <w:p w:rsidR="0023651D" w:rsidRPr="0023651D" w:rsidRDefault="0023651D" w:rsidP="00A521AD">
      <w:pPr>
        <w:tabs>
          <w:tab w:val="left" w:pos="252"/>
        </w:tabs>
      </w:pPr>
    </w:p>
    <w:p w:rsidR="00A521AD" w:rsidRDefault="00F84B98" w:rsidP="00A521AD">
      <w:pPr>
        <w:tabs>
          <w:tab w:val="left" w:pos="252"/>
        </w:tabs>
      </w:pPr>
      <w:hyperlink r:id="rId16" w:history="1">
        <w:r w:rsidR="0023651D" w:rsidRPr="00085FDE">
          <w:rPr>
            <w:rStyle w:val="Hyperlink"/>
          </w:rPr>
          <w:t>http://www.insidehighered.com/sites/default/server_files/files/Recommendations%20for%20Standards%20in%20PLA%20-%20Final%20Version%201-1.pdf</w:t>
        </w:r>
      </w:hyperlink>
    </w:p>
    <w:p w:rsidR="0023651D" w:rsidRDefault="0023651D" w:rsidP="00A521AD">
      <w:pPr>
        <w:tabs>
          <w:tab w:val="left" w:pos="252"/>
        </w:tabs>
      </w:pPr>
    </w:p>
    <w:p w:rsidR="00D43F74" w:rsidRDefault="00D43F74" w:rsidP="00D43F74">
      <w:pPr>
        <w:rPr>
          <w:b/>
          <w:u w:val="single"/>
        </w:rPr>
      </w:pPr>
      <w:r>
        <w:rPr>
          <w:b/>
          <w:u w:val="single"/>
        </w:rPr>
        <w:br w:type="page"/>
      </w:r>
    </w:p>
    <w:p w:rsidR="00D43F74" w:rsidRPr="00E87479" w:rsidRDefault="00D43F74" w:rsidP="00D43F74">
      <w:pPr>
        <w:rPr>
          <w:i/>
          <w:strike/>
        </w:rPr>
      </w:pPr>
    </w:p>
    <w:p w:rsidR="00D43F74" w:rsidRPr="008967AF" w:rsidRDefault="00D43F74" w:rsidP="00D43F74">
      <w:pPr>
        <w:jc w:val="center"/>
        <w:rPr>
          <w:b/>
          <w:i/>
        </w:rPr>
      </w:pPr>
    </w:p>
    <w:p w:rsidR="000A003F" w:rsidRPr="00892367" w:rsidRDefault="000A003F">
      <w:pPr>
        <w:spacing w:after="200" w:line="276" w:lineRule="auto"/>
        <w:rPr>
          <w:b/>
          <w:bCs/>
          <w:i/>
          <w:color w:val="000000"/>
          <w:shd w:val="clear" w:color="auto" w:fill="FFFFFF"/>
        </w:rPr>
      </w:pPr>
      <w:r w:rsidRPr="00892367">
        <w:rPr>
          <w:b/>
          <w:bCs/>
          <w:i/>
          <w:color w:val="000000"/>
          <w:shd w:val="clear" w:color="auto" w:fill="FFFFFF"/>
        </w:rPr>
        <w:t>What challenges does your institution expect with implementing the Standards?</w:t>
      </w:r>
    </w:p>
    <w:tbl>
      <w:tblPr>
        <w:tblStyle w:val="TableGrid"/>
        <w:tblW w:w="10176" w:type="dxa"/>
        <w:tblInd w:w="135" w:type="dxa"/>
        <w:tblLook w:val="04A0" w:firstRow="1" w:lastRow="0" w:firstColumn="1" w:lastColumn="0" w:noHBand="0" w:noVBand="1"/>
      </w:tblPr>
      <w:tblGrid>
        <w:gridCol w:w="10176"/>
      </w:tblGrid>
      <w:tr w:rsidR="000A003F" w:rsidTr="00683C40">
        <w:trPr>
          <w:trHeight w:val="1907"/>
        </w:trPr>
        <w:tc>
          <w:tcPr>
            <w:tcW w:w="10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03F" w:rsidRDefault="000A003F" w:rsidP="00683C40">
            <w:pPr>
              <w:rPr>
                <w:rFonts w:eastAsiaTheme="minorHAnsi"/>
              </w:rPr>
            </w:pPr>
          </w:p>
        </w:tc>
      </w:tr>
    </w:tbl>
    <w:p w:rsidR="000A003F" w:rsidRDefault="000A003F" w:rsidP="000A003F">
      <w:pPr>
        <w:rPr>
          <w:rFonts w:eastAsiaTheme="minorHAnsi"/>
        </w:rPr>
      </w:pPr>
    </w:p>
    <w:p w:rsidR="000A003F" w:rsidRDefault="000A003F" w:rsidP="000A003F">
      <w:pPr>
        <w:rPr>
          <w:rFonts w:eastAsiaTheme="minorHAnsi"/>
        </w:rPr>
      </w:pPr>
    </w:p>
    <w:p w:rsidR="000A003F" w:rsidRPr="00F84B98" w:rsidRDefault="00F84B98" w:rsidP="000A003F">
      <w:pPr>
        <w:rPr>
          <w:rFonts w:eastAsiaTheme="minorHAnsi"/>
          <w:b/>
          <w:i/>
        </w:rPr>
      </w:pPr>
      <w:r w:rsidRPr="00F84B98">
        <w:rPr>
          <w:b/>
          <w:i/>
          <w:color w:val="000000"/>
        </w:rPr>
        <w:t>Does your institution have recommendations for additional standards or edits to the existing standards? If so, please list them below</w:t>
      </w:r>
      <w:r>
        <w:rPr>
          <w:b/>
          <w:i/>
          <w:color w:val="000000"/>
        </w:rPr>
        <w:t>.</w:t>
      </w:r>
    </w:p>
    <w:tbl>
      <w:tblPr>
        <w:tblStyle w:val="TableGrid"/>
        <w:tblW w:w="10176" w:type="dxa"/>
        <w:tblInd w:w="135" w:type="dxa"/>
        <w:tblLook w:val="04A0" w:firstRow="1" w:lastRow="0" w:firstColumn="1" w:lastColumn="0" w:noHBand="0" w:noVBand="1"/>
      </w:tblPr>
      <w:tblGrid>
        <w:gridCol w:w="10176"/>
      </w:tblGrid>
      <w:tr w:rsidR="000A003F" w:rsidTr="00683C40">
        <w:trPr>
          <w:trHeight w:val="1907"/>
        </w:trPr>
        <w:tc>
          <w:tcPr>
            <w:tcW w:w="10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03F" w:rsidRDefault="000A003F" w:rsidP="00683C40">
            <w:pPr>
              <w:rPr>
                <w:rFonts w:eastAsiaTheme="minorHAnsi"/>
              </w:rPr>
            </w:pPr>
          </w:p>
        </w:tc>
      </w:tr>
    </w:tbl>
    <w:p w:rsidR="000A003F" w:rsidRDefault="000A003F">
      <w:pPr>
        <w:spacing w:after="200" w:line="276" w:lineRule="auto"/>
        <w:rPr>
          <w:b/>
        </w:rPr>
      </w:pPr>
    </w:p>
    <w:p w:rsidR="000A003F" w:rsidRPr="00892367" w:rsidRDefault="000A003F">
      <w:pPr>
        <w:spacing w:after="200" w:line="276" w:lineRule="auto"/>
        <w:rPr>
          <w:b/>
          <w:i/>
        </w:rPr>
      </w:pPr>
      <w:r w:rsidRPr="00892367">
        <w:rPr>
          <w:b/>
          <w:bCs/>
          <w:i/>
          <w:color w:val="000000"/>
          <w:shd w:val="clear" w:color="auto" w:fill="FFFFFF"/>
        </w:rPr>
        <w:t>Are there major financial barriers that will impact implementation of the Standards? If so, what are they?</w:t>
      </w:r>
    </w:p>
    <w:tbl>
      <w:tblPr>
        <w:tblStyle w:val="TableGrid"/>
        <w:tblW w:w="10176" w:type="dxa"/>
        <w:tblInd w:w="135" w:type="dxa"/>
        <w:tblLook w:val="04A0" w:firstRow="1" w:lastRow="0" w:firstColumn="1" w:lastColumn="0" w:noHBand="0" w:noVBand="1"/>
      </w:tblPr>
      <w:tblGrid>
        <w:gridCol w:w="10176"/>
      </w:tblGrid>
      <w:tr w:rsidR="000A003F" w:rsidTr="00683C40">
        <w:trPr>
          <w:trHeight w:val="1907"/>
        </w:trPr>
        <w:tc>
          <w:tcPr>
            <w:tcW w:w="10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03F" w:rsidRDefault="000A003F" w:rsidP="00683C40">
            <w:pPr>
              <w:rPr>
                <w:rFonts w:eastAsiaTheme="minorHAnsi"/>
              </w:rPr>
            </w:pPr>
          </w:p>
        </w:tc>
      </w:tr>
    </w:tbl>
    <w:p w:rsidR="000A003F" w:rsidRDefault="000A003F">
      <w:pPr>
        <w:spacing w:after="200" w:line="276" w:lineRule="auto"/>
        <w:rPr>
          <w:b/>
        </w:rPr>
      </w:pPr>
    </w:p>
    <w:p w:rsidR="000A003F" w:rsidRPr="00F84B98" w:rsidRDefault="00F84B98">
      <w:pPr>
        <w:spacing w:after="200" w:line="276" w:lineRule="auto"/>
        <w:rPr>
          <w:b/>
          <w:i/>
        </w:rPr>
      </w:pPr>
      <w:r w:rsidRPr="00F84B98">
        <w:rPr>
          <w:b/>
          <w:i/>
          <w:color w:val="000000"/>
        </w:rPr>
        <w:t>The HECC will likely adopt the Standards in late spring 2014. The expectation is that institutional planning will occur in 2014-15 with implementation effective for 2015-16. Please list any barriers your institution may have implementing the standards.</w:t>
      </w:r>
    </w:p>
    <w:tbl>
      <w:tblPr>
        <w:tblStyle w:val="TableGrid"/>
        <w:tblW w:w="10176" w:type="dxa"/>
        <w:tblInd w:w="135" w:type="dxa"/>
        <w:tblLook w:val="04A0" w:firstRow="1" w:lastRow="0" w:firstColumn="1" w:lastColumn="0" w:noHBand="0" w:noVBand="1"/>
      </w:tblPr>
      <w:tblGrid>
        <w:gridCol w:w="10176"/>
      </w:tblGrid>
      <w:tr w:rsidR="000A003F" w:rsidTr="00683C40">
        <w:trPr>
          <w:trHeight w:val="1907"/>
        </w:trPr>
        <w:tc>
          <w:tcPr>
            <w:tcW w:w="101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03F" w:rsidRDefault="000A003F" w:rsidP="00683C40">
            <w:pPr>
              <w:rPr>
                <w:rFonts w:eastAsiaTheme="minorHAnsi"/>
              </w:rPr>
            </w:pPr>
          </w:p>
        </w:tc>
      </w:tr>
    </w:tbl>
    <w:p w:rsidR="000A003F" w:rsidRDefault="000A003F">
      <w:pPr>
        <w:spacing w:after="200" w:line="276" w:lineRule="auto"/>
        <w:rPr>
          <w:b/>
        </w:rPr>
      </w:pPr>
      <w:bookmarkStart w:id="0" w:name="_GoBack"/>
      <w:bookmarkEnd w:id="0"/>
    </w:p>
    <w:p w:rsidR="00D43F74" w:rsidRDefault="00D43F74" w:rsidP="00D43F74">
      <w:pPr>
        <w:jc w:val="center"/>
        <w:rPr>
          <w:b/>
          <w:i/>
        </w:rPr>
      </w:pPr>
      <w:r>
        <w:rPr>
          <w:b/>
        </w:rPr>
        <w:lastRenderedPageBreak/>
        <w:t>Glossary of Terms</w:t>
      </w:r>
    </w:p>
    <w:p w:rsidR="00D43F74" w:rsidRDefault="00D43F74" w:rsidP="00D43F74">
      <w:pPr>
        <w:pStyle w:val="Default"/>
        <w:rPr>
          <w:rFonts w:ascii="Times New Roman" w:hAnsi="Times New Roman" w:cs="Times New Roman"/>
          <w:b/>
          <w:bCs/>
          <w:u w:val="single"/>
        </w:rPr>
      </w:pPr>
    </w:p>
    <w:p w:rsidR="00D43F74" w:rsidRPr="00FF42B9" w:rsidRDefault="00D43F74" w:rsidP="00D43F74">
      <w:pPr>
        <w:pStyle w:val="Default"/>
        <w:rPr>
          <w:rFonts w:ascii="Times New Roman" w:hAnsi="Times New Roman" w:cs="Times New Roman"/>
        </w:rPr>
      </w:pPr>
      <w:proofErr w:type="gramStart"/>
      <w:r w:rsidRPr="00FF42B9">
        <w:rPr>
          <w:rFonts w:ascii="Times New Roman" w:hAnsi="Times New Roman" w:cs="Times New Roman"/>
          <w:b/>
          <w:bCs/>
          <w:u w:val="single"/>
        </w:rPr>
        <w:t>Advanced Placement (AP) Exams:</w:t>
      </w:r>
      <w:r w:rsidRPr="00FF42B9">
        <w:rPr>
          <w:rFonts w:ascii="Times New Roman" w:hAnsi="Times New Roman" w:cs="Times New Roman"/>
          <w:b/>
          <w:bCs/>
        </w:rPr>
        <w:t xml:space="preserve">  </w:t>
      </w:r>
      <w:r w:rsidRPr="00FF42B9">
        <w:rPr>
          <w:rFonts w:ascii="Times New Roman" w:hAnsi="Times New Roman" w:cs="Times New Roman"/>
        </w:rPr>
        <w:t>A series of tests developed by the College Board initially for AP High School courses.</w:t>
      </w:r>
      <w:proofErr w:type="gramEnd"/>
      <w:r w:rsidRPr="00FF42B9">
        <w:rPr>
          <w:rFonts w:ascii="Times New Roman" w:hAnsi="Times New Roman" w:cs="Times New Roman"/>
        </w:rPr>
        <w:t xml:space="preserve"> This is also a type of early postsecondary educational opportunity. </w:t>
      </w:r>
    </w:p>
    <w:p w:rsidR="00D43F74" w:rsidRPr="00FF42B9" w:rsidRDefault="00D43F74" w:rsidP="00D43F74">
      <w:pPr>
        <w:pStyle w:val="Default"/>
        <w:rPr>
          <w:rFonts w:ascii="Times New Roman" w:hAnsi="Times New Roman" w:cs="Times New Roman"/>
        </w:rPr>
      </w:pPr>
    </w:p>
    <w:p w:rsidR="00D43F74" w:rsidRPr="00FF42B9" w:rsidRDefault="00D43F74" w:rsidP="00D43F74">
      <w:pPr>
        <w:pStyle w:val="Default"/>
        <w:rPr>
          <w:rFonts w:ascii="Times New Roman" w:hAnsi="Times New Roman" w:cs="Times New Roman"/>
        </w:rPr>
      </w:pPr>
      <w:r w:rsidRPr="00FF42B9">
        <w:rPr>
          <w:rFonts w:ascii="Times New Roman" w:hAnsi="Times New Roman" w:cs="Times New Roman"/>
          <w:b/>
          <w:bCs/>
          <w:u w:val="single"/>
        </w:rPr>
        <w:t>American Council on Education (ACE) Guidelines:</w:t>
      </w:r>
      <w:r w:rsidRPr="00FF42B9">
        <w:rPr>
          <w:rFonts w:ascii="Times New Roman" w:hAnsi="Times New Roman" w:cs="Times New Roman"/>
          <w:b/>
          <w:bCs/>
        </w:rPr>
        <w:t xml:space="preserve"> </w:t>
      </w:r>
      <w:r w:rsidRPr="00FF42B9">
        <w:rPr>
          <w:rFonts w:ascii="Times New Roman" w:hAnsi="Times New Roman" w:cs="Times New Roman"/>
        </w:rPr>
        <w:t xml:space="preserve">Published credit recommendations for formal instructional programs and examinations offered by non-collegiate agencies (including civilian employers, the military, professional associations, and other workplace related-training). </w:t>
      </w:r>
    </w:p>
    <w:p w:rsidR="00D43F74" w:rsidRDefault="00D43F74" w:rsidP="00D43F74">
      <w:pPr>
        <w:pStyle w:val="Default"/>
        <w:rPr>
          <w:rFonts w:ascii="Times New Roman" w:hAnsi="Times New Roman" w:cs="Times New Roman"/>
        </w:rPr>
      </w:pPr>
    </w:p>
    <w:p w:rsidR="00045CCA" w:rsidRDefault="00045CCA" w:rsidP="00D43F74">
      <w:pPr>
        <w:pStyle w:val="Default"/>
        <w:rPr>
          <w:rFonts w:ascii="Times New Roman" w:hAnsi="Times New Roman" w:cs="Times New Roman"/>
          <w:b/>
          <w:bCs/>
          <w:u w:val="single"/>
        </w:rPr>
      </w:pPr>
      <w:r w:rsidRPr="00FF42B9">
        <w:rPr>
          <w:rFonts w:ascii="Times New Roman" w:hAnsi="Times New Roman"/>
          <w:b/>
          <w:u w:val="single"/>
        </w:rPr>
        <w:t>Council for Adult Experiential Learning (CAEL):</w:t>
      </w:r>
      <w:r w:rsidRPr="00FF42B9">
        <w:rPr>
          <w:rFonts w:ascii="Times New Roman" w:hAnsi="Times New Roman"/>
          <w:b/>
        </w:rPr>
        <w:t xml:space="preserve"> </w:t>
      </w:r>
      <w:r w:rsidRPr="00FF42B9">
        <w:rPr>
          <w:rFonts w:ascii="Times New Roman" w:hAnsi="Times New Roman"/>
        </w:rPr>
        <w:t>National nonprofit organization that works at all levels within the higher education, public, and private sectors. Responsible for the development of 10 standards related to Credit for Prior Learning.</w:t>
      </w:r>
    </w:p>
    <w:p w:rsidR="00045CCA" w:rsidRDefault="00045CCA" w:rsidP="00D43F74">
      <w:pPr>
        <w:pStyle w:val="Default"/>
        <w:rPr>
          <w:rFonts w:ascii="Times New Roman" w:hAnsi="Times New Roman" w:cs="Times New Roman"/>
          <w:b/>
          <w:bCs/>
          <w:u w:val="single"/>
        </w:rPr>
      </w:pPr>
    </w:p>
    <w:p w:rsidR="00D43F74" w:rsidRPr="00FF42B9" w:rsidRDefault="00D43F74" w:rsidP="00D43F74">
      <w:pPr>
        <w:pStyle w:val="Default"/>
        <w:rPr>
          <w:rFonts w:ascii="Times New Roman" w:hAnsi="Times New Roman" w:cs="Times New Roman"/>
        </w:rPr>
      </w:pPr>
      <w:r w:rsidRPr="00FF42B9">
        <w:rPr>
          <w:rFonts w:ascii="Times New Roman" w:hAnsi="Times New Roman" w:cs="Times New Roman"/>
          <w:b/>
          <w:bCs/>
          <w:u w:val="single"/>
        </w:rPr>
        <w:t>College Level Examination Program (CLEP) Exams</w:t>
      </w:r>
      <w:r w:rsidRPr="00FF42B9">
        <w:rPr>
          <w:rFonts w:ascii="Times New Roman" w:hAnsi="Times New Roman" w:cs="Times New Roman"/>
          <w:b/>
          <w:bCs/>
        </w:rPr>
        <w:t xml:space="preserve">: </w:t>
      </w:r>
      <w:r w:rsidRPr="00FF42B9">
        <w:rPr>
          <w:rFonts w:ascii="Times New Roman" w:hAnsi="Times New Roman" w:cs="Times New Roman"/>
        </w:rPr>
        <w:t xml:space="preserve">Tests of college material offered by the College Board. </w:t>
      </w:r>
    </w:p>
    <w:p w:rsidR="00FA021A" w:rsidRDefault="00FA021A" w:rsidP="00D43F74"/>
    <w:p w:rsidR="00FA021A" w:rsidRPr="00FA021A" w:rsidRDefault="00FA021A" w:rsidP="00D43F74">
      <w:r>
        <w:rPr>
          <w:b/>
          <w:u w:val="single"/>
        </w:rPr>
        <w:t xml:space="preserve">CPL Leadership Team: </w:t>
      </w:r>
      <w:r>
        <w:t>Institution</w:t>
      </w:r>
      <w:r w:rsidR="00B8539A">
        <w:t xml:space="preserve">al cross-functional team that is responsible for overseeing all CPL activities such as developing and </w:t>
      </w:r>
      <w:r w:rsidRPr="00215FD0">
        <w:t>conducting</w:t>
      </w:r>
      <w:r w:rsidR="00B8539A">
        <w:t xml:space="preserve"> ongoing</w:t>
      </w:r>
      <w:r w:rsidRPr="00215FD0">
        <w:t xml:space="preserve"> evaluations of institutional </w:t>
      </w:r>
      <w:r>
        <w:t>CPL</w:t>
      </w:r>
      <w:r w:rsidRPr="00215FD0">
        <w:t xml:space="preserve"> policies, standards, procedures, and practices</w:t>
      </w:r>
      <w:r>
        <w:t xml:space="preserve">. </w:t>
      </w:r>
      <w:r w:rsidR="00B8539A">
        <w:t xml:space="preserve">Membership may be comprised of </w:t>
      </w:r>
      <w:r w:rsidRPr="00215FD0">
        <w:t>student services, instruction, registrar</w:t>
      </w:r>
      <w:r w:rsidR="00B8539A">
        <w:t>s</w:t>
      </w:r>
      <w:r w:rsidRPr="00215FD0">
        <w:t>, etc</w:t>
      </w:r>
      <w:r>
        <w:t xml:space="preserve">. </w:t>
      </w:r>
    </w:p>
    <w:p w:rsidR="00D43F74" w:rsidRPr="00FF42B9" w:rsidRDefault="00D43F74" w:rsidP="00D43F74">
      <w:r w:rsidRPr="00FF42B9">
        <w:br/>
      </w:r>
      <w:r w:rsidRPr="00FF42B9">
        <w:rPr>
          <w:b/>
          <w:u w:val="single"/>
        </w:rPr>
        <w:t>Credit for Prior Learning (CPL):</w:t>
      </w:r>
      <w:r w:rsidRPr="00FF42B9">
        <w:rPr>
          <w:b/>
        </w:rPr>
        <w:t xml:space="preserve"> </w:t>
      </w:r>
      <w:r w:rsidR="00FA021A" w:rsidRPr="00FA021A">
        <w:t xml:space="preserve"> </w:t>
      </w:r>
      <w:r w:rsidR="00FA021A">
        <w:t xml:space="preserve">Credit obtained through evidence-based assessment of learning that occurs outside of traditional college-level coursework. </w:t>
      </w:r>
      <w:r w:rsidRPr="00FF42B9">
        <w:t xml:space="preserve">Per HB 4059, “prior learning” is defined as </w:t>
      </w:r>
      <w:r w:rsidRPr="00FF42B9">
        <w:rPr>
          <w:bCs/>
        </w:rPr>
        <w:t>the knowledge and skills gained through work and life experience, through military training and experience and through formal and informal education and training from institutions of higher education in</w:t>
      </w:r>
      <w:r>
        <w:rPr>
          <w:bCs/>
        </w:rPr>
        <w:t xml:space="preserve"> </w:t>
      </w:r>
      <w:r w:rsidRPr="00FF42B9">
        <w:rPr>
          <w:bCs/>
        </w:rPr>
        <w:t>the United States and in other nations.</w:t>
      </w:r>
    </w:p>
    <w:p w:rsidR="00D43F74" w:rsidRDefault="00D43F74" w:rsidP="00D43F74">
      <w:pPr>
        <w:pStyle w:val="Default"/>
        <w:rPr>
          <w:rFonts w:ascii="Times New Roman" w:hAnsi="Times New Roman" w:cs="Times New Roman"/>
        </w:rPr>
      </w:pPr>
    </w:p>
    <w:p w:rsidR="00045CCA" w:rsidRPr="00FF42B9" w:rsidRDefault="00045CCA" w:rsidP="00045CCA">
      <w:pPr>
        <w:pStyle w:val="Default"/>
        <w:rPr>
          <w:rFonts w:ascii="Times New Roman" w:hAnsi="Times New Roman" w:cs="Times New Roman"/>
        </w:rPr>
      </w:pPr>
      <w:r w:rsidRPr="00FF42B9">
        <w:rPr>
          <w:rFonts w:ascii="Times New Roman" w:hAnsi="Times New Roman" w:cs="Times New Roman"/>
          <w:b/>
          <w:bCs/>
          <w:u w:val="single"/>
        </w:rPr>
        <w:t>Defense Activity for Non-Traditional Educational Support (DANTES) Subject Standardized Tests (DSSTs):</w:t>
      </w:r>
      <w:r w:rsidRPr="00FF42B9">
        <w:rPr>
          <w:rFonts w:ascii="Times New Roman" w:hAnsi="Times New Roman" w:cs="Times New Roman"/>
          <w:b/>
          <w:bCs/>
        </w:rPr>
        <w:t xml:space="preserve"> </w:t>
      </w:r>
      <w:r w:rsidRPr="00FF42B9">
        <w:rPr>
          <w:rFonts w:ascii="Times New Roman" w:hAnsi="Times New Roman" w:cs="Times New Roman"/>
        </w:rPr>
        <w:t xml:space="preserve">DSSTs are examinations administered by </w:t>
      </w:r>
      <w:proofErr w:type="spellStart"/>
      <w:r w:rsidRPr="00FF42B9">
        <w:rPr>
          <w:rFonts w:ascii="Times New Roman" w:hAnsi="Times New Roman" w:cs="Times New Roman"/>
        </w:rPr>
        <w:t>Prometric</w:t>
      </w:r>
      <w:proofErr w:type="spellEnd"/>
      <w:r w:rsidRPr="00FF42B9">
        <w:rPr>
          <w:rFonts w:ascii="Times New Roman" w:hAnsi="Times New Roman" w:cs="Times New Roman"/>
        </w:rPr>
        <w:t xml:space="preserve">. While originally being restricted to active and retired military personnel, these tests are now available to civilians. </w:t>
      </w:r>
    </w:p>
    <w:p w:rsidR="00045CCA" w:rsidRDefault="00045CCA" w:rsidP="00D43F74">
      <w:pPr>
        <w:pStyle w:val="Default"/>
        <w:rPr>
          <w:rFonts w:ascii="Times New Roman" w:hAnsi="Times New Roman" w:cs="Times New Roman"/>
        </w:rPr>
      </w:pPr>
    </w:p>
    <w:p w:rsidR="002616DF" w:rsidRPr="00975F60" w:rsidRDefault="002616DF" w:rsidP="00D43F74">
      <w:pPr>
        <w:pStyle w:val="Default"/>
        <w:rPr>
          <w:rFonts w:ascii="Times New Roman" w:hAnsi="Times New Roman" w:cs="Times New Roman"/>
          <w:b/>
          <w:u w:val="single"/>
        </w:rPr>
      </w:pPr>
      <w:r>
        <w:rPr>
          <w:rFonts w:ascii="Times New Roman" w:hAnsi="Times New Roman" w:cs="Times New Roman"/>
          <w:b/>
          <w:u w:val="single"/>
        </w:rPr>
        <w:t xml:space="preserve">Dual Credit: </w:t>
      </w:r>
      <w:r w:rsidR="00FA021A" w:rsidRPr="00FF42B9">
        <w:rPr>
          <w:rFonts w:ascii="Times New Roman" w:hAnsi="Times New Roman"/>
          <w:bCs/>
        </w:rPr>
        <w:t xml:space="preserve">The </w:t>
      </w:r>
      <w:r w:rsidR="00FA021A" w:rsidRPr="00FF42B9">
        <w:rPr>
          <w:rFonts w:ascii="Times New Roman" w:hAnsi="Times New Roman"/>
        </w:rPr>
        <w:t xml:space="preserve">awarding of secondary and postsecondary credit </w:t>
      </w:r>
      <w:r w:rsidR="005B6A7C">
        <w:rPr>
          <w:rFonts w:ascii="Times New Roman" w:hAnsi="Times New Roman"/>
        </w:rPr>
        <w:t xml:space="preserve">simultaneously </w:t>
      </w:r>
      <w:r w:rsidR="00FA021A" w:rsidRPr="00FF42B9">
        <w:rPr>
          <w:rFonts w:ascii="Times New Roman" w:hAnsi="Times New Roman"/>
        </w:rPr>
        <w:t>for a course offered in a high school during regular school hours, as determined by local school board and community college/university board policy</w:t>
      </w:r>
      <w:r w:rsidR="005B6A7C">
        <w:rPr>
          <w:rFonts w:ascii="Times New Roman" w:hAnsi="Times New Roman"/>
        </w:rPr>
        <w:t>.</w:t>
      </w:r>
      <w:r w:rsidR="00AF55CD">
        <w:rPr>
          <w:rFonts w:ascii="Times New Roman" w:hAnsi="Times New Roman"/>
        </w:rPr>
        <w:t xml:space="preserve"> </w:t>
      </w:r>
    </w:p>
    <w:p w:rsidR="002616DF" w:rsidRDefault="002616DF" w:rsidP="00D43F74">
      <w:pPr>
        <w:pStyle w:val="Default"/>
        <w:rPr>
          <w:rFonts w:ascii="Times New Roman" w:hAnsi="Times New Roman" w:cs="Times New Roman"/>
        </w:rPr>
      </w:pPr>
    </w:p>
    <w:p w:rsidR="004011DC" w:rsidRPr="00D602E8" w:rsidRDefault="002C7631" w:rsidP="00D602E8">
      <w:pPr>
        <w:autoSpaceDE w:val="0"/>
        <w:autoSpaceDN w:val="0"/>
        <w:adjustRightInd w:val="0"/>
      </w:pPr>
      <w:r w:rsidRPr="00D602E8">
        <w:rPr>
          <w:rFonts w:ascii="TimesNewRoman" w:eastAsiaTheme="minorHAnsi" w:hAnsi="TimesNewRoman" w:cs="TimesNewRoman"/>
          <w:b/>
          <w:u w:val="single"/>
        </w:rPr>
        <w:t>Evidence-Based Assessment:</w:t>
      </w:r>
      <w:r w:rsidRPr="00D602E8">
        <w:rPr>
          <w:rFonts w:ascii="TimesNewRoman" w:eastAsiaTheme="minorHAnsi" w:hAnsi="TimesNewRoman" w:cs="TimesNewRoman"/>
        </w:rPr>
        <w:t xml:space="preserve"> </w:t>
      </w:r>
      <w:r w:rsidR="004011DC" w:rsidRPr="00D602E8">
        <w:t>The process of documenting student knowledge, skills and abilities to demonstrate achievement of identified course outcomes</w:t>
      </w:r>
      <w:r w:rsidR="00C732FD" w:rsidRPr="00D602E8">
        <w:t>.</w:t>
      </w:r>
    </w:p>
    <w:p w:rsidR="004011DC" w:rsidRPr="00215FD0" w:rsidRDefault="004011DC" w:rsidP="00D43F74">
      <w:pPr>
        <w:pStyle w:val="Default"/>
        <w:rPr>
          <w:rFonts w:ascii="Times New Roman" w:hAnsi="Times New Roman" w:cs="Times New Roman"/>
          <w:color w:val="auto"/>
        </w:rPr>
      </w:pPr>
    </w:p>
    <w:p w:rsidR="00D43F74" w:rsidRDefault="00D43F74" w:rsidP="00D43F74">
      <w:pPr>
        <w:pStyle w:val="NormalWeb"/>
        <w:spacing w:before="0" w:beforeAutospacing="0" w:after="0" w:afterAutospacing="0"/>
      </w:pPr>
      <w:r w:rsidRPr="00FF42B9">
        <w:rPr>
          <w:b/>
          <w:bCs/>
          <w:u w:val="single"/>
        </w:rPr>
        <w:t>International Baccalaureate Program</w:t>
      </w:r>
      <w:r w:rsidR="00714FCD">
        <w:rPr>
          <w:b/>
          <w:bCs/>
          <w:u w:val="single"/>
        </w:rPr>
        <w:t xml:space="preserve"> Exams</w:t>
      </w:r>
      <w:r w:rsidRPr="00FF42B9">
        <w:rPr>
          <w:b/>
          <w:bCs/>
          <w:u w:val="single"/>
        </w:rPr>
        <w:t xml:space="preserve"> (IB):</w:t>
      </w:r>
      <w:r w:rsidRPr="00FF42B9">
        <w:rPr>
          <w:b/>
          <w:bCs/>
        </w:rPr>
        <w:t xml:space="preserve"> </w:t>
      </w:r>
      <w:r w:rsidRPr="00FF42B9">
        <w:t xml:space="preserve">An internationally accepted qualification for entry into institutes of higher education, much like the AP program.  Designed for students ages 16 to 19, it is a two-year curriculum that leads up to a final examination. To receive a diploma, students must achieve a minimum score and have completed satisfactory participation in the creativity, action, service requirement. </w:t>
      </w:r>
    </w:p>
    <w:p w:rsidR="00D43F74" w:rsidRPr="00FF42B9" w:rsidRDefault="00D43F74" w:rsidP="00D43F74">
      <w:pPr>
        <w:rPr>
          <w:b/>
          <w:color w:val="000000"/>
          <w:u w:val="single"/>
        </w:rPr>
      </w:pPr>
    </w:p>
    <w:p w:rsidR="003137BC" w:rsidRDefault="00D43F74">
      <w:r w:rsidRPr="00FF42B9">
        <w:rPr>
          <w:b/>
          <w:bCs/>
          <w:u w:val="single"/>
        </w:rPr>
        <w:t>Portfolio:</w:t>
      </w:r>
      <w:r w:rsidRPr="00FF42B9">
        <w:rPr>
          <w:b/>
          <w:bCs/>
        </w:rPr>
        <w:t xml:space="preserve"> </w:t>
      </w:r>
      <w:r w:rsidRPr="00FF42B9">
        <w:t xml:space="preserve"> </w:t>
      </w:r>
      <w:r w:rsidRPr="00D43F74">
        <w:t>Credit granted for the preparation and defense of a collection of evidence by a student to demonstrate and validate college-level credit for learning acquired outside of the classroom.</w:t>
      </w:r>
      <w:r w:rsidRPr="00A03DEE">
        <w:rPr>
          <w:i/>
        </w:rPr>
        <w:t xml:space="preserve"> </w:t>
      </w:r>
    </w:p>
    <w:sectPr w:rsidR="003137BC" w:rsidSect="00A36E40">
      <w:headerReference w:type="default" r:id="rId17"/>
      <w:footerReference w:type="default" r:id="rId18"/>
      <w:pgSz w:w="12240" w:h="15840"/>
      <w:pgMar w:top="1152" w:right="1080" w:bottom="1152"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23" w:rsidRDefault="00857523" w:rsidP="00215FD0">
      <w:r>
        <w:separator/>
      </w:r>
    </w:p>
  </w:endnote>
  <w:endnote w:type="continuationSeparator" w:id="0">
    <w:p w:rsidR="00857523" w:rsidRDefault="00857523" w:rsidP="0021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938710"/>
      <w:docPartObj>
        <w:docPartGallery w:val="Page Numbers (Bottom of Page)"/>
        <w:docPartUnique/>
      </w:docPartObj>
    </w:sdtPr>
    <w:sdtEndPr>
      <w:rPr>
        <w:noProof/>
      </w:rPr>
    </w:sdtEndPr>
    <w:sdtContent>
      <w:p w:rsidR="00F031C9" w:rsidRDefault="00F031C9">
        <w:pPr>
          <w:pStyle w:val="Footer"/>
          <w:jc w:val="right"/>
        </w:pPr>
        <w:r>
          <w:fldChar w:fldCharType="begin"/>
        </w:r>
        <w:r>
          <w:instrText xml:space="preserve"> PAGE   \* MERGEFORMAT </w:instrText>
        </w:r>
        <w:r>
          <w:fldChar w:fldCharType="separate"/>
        </w:r>
        <w:r w:rsidR="00F84B98">
          <w:rPr>
            <w:noProof/>
          </w:rPr>
          <w:t>2</w:t>
        </w:r>
        <w:r>
          <w:rPr>
            <w:noProof/>
          </w:rPr>
          <w:fldChar w:fldCharType="end"/>
        </w:r>
      </w:p>
    </w:sdtContent>
  </w:sdt>
  <w:p w:rsidR="00FA021A" w:rsidRDefault="00FA0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23" w:rsidRDefault="00857523" w:rsidP="00215FD0">
      <w:r>
        <w:separator/>
      </w:r>
    </w:p>
  </w:footnote>
  <w:footnote w:type="continuationSeparator" w:id="0">
    <w:p w:rsidR="00857523" w:rsidRDefault="00857523" w:rsidP="00215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60287"/>
      <w:docPartObj>
        <w:docPartGallery w:val="Watermarks"/>
        <w:docPartUnique/>
      </w:docPartObj>
    </w:sdtPr>
    <w:sdtEndPr/>
    <w:sdtContent>
      <w:p w:rsidR="00215FD0" w:rsidRDefault="00F84B9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8EA"/>
    <w:multiLevelType w:val="hybridMultilevel"/>
    <w:tmpl w:val="5F62A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2378C3"/>
    <w:multiLevelType w:val="hybridMultilevel"/>
    <w:tmpl w:val="645E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42F90"/>
    <w:multiLevelType w:val="hybridMultilevel"/>
    <w:tmpl w:val="DE24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84BF0"/>
    <w:multiLevelType w:val="multilevel"/>
    <w:tmpl w:val="DC96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D0495"/>
    <w:multiLevelType w:val="hybridMultilevel"/>
    <w:tmpl w:val="E94A6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2F312A"/>
    <w:multiLevelType w:val="multilevel"/>
    <w:tmpl w:val="CB340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B61331"/>
    <w:multiLevelType w:val="hybridMultilevel"/>
    <w:tmpl w:val="DBC0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B2123"/>
    <w:multiLevelType w:val="hybridMultilevel"/>
    <w:tmpl w:val="E2D8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D67C0"/>
    <w:multiLevelType w:val="hybridMultilevel"/>
    <w:tmpl w:val="100E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E09AF"/>
    <w:multiLevelType w:val="hybridMultilevel"/>
    <w:tmpl w:val="46D0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2"/>
  </w:num>
  <w:num w:numId="6">
    <w:abstractNumId w:val="1"/>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74"/>
    <w:rsid w:val="00001D05"/>
    <w:rsid w:val="00003934"/>
    <w:rsid w:val="00012E3D"/>
    <w:rsid w:val="000457A3"/>
    <w:rsid w:val="00045CCA"/>
    <w:rsid w:val="000947A0"/>
    <w:rsid w:val="000A003F"/>
    <w:rsid w:val="000B070F"/>
    <w:rsid w:val="000E57EA"/>
    <w:rsid w:val="00215FD0"/>
    <w:rsid w:val="0023651D"/>
    <w:rsid w:val="00261227"/>
    <w:rsid w:val="002616DF"/>
    <w:rsid w:val="0026321F"/>
    <w:rsid w:val="002833ED"/>
    <w:rsid w:val="002B3FF2"/>
    <w:rsid w:val="002C7631"/>
    <w:rsid w:val="00302253"/>
    <w:rsid w:val="003137BC"/>
    <w:rsid w:val="003D0A18"/>
    <w:rsid w:val="003E4C4B"/>
    <w:rsid w:val="004011DC"/>
    <w:rsid w:val="00413F8B"/>
    <w:rsid w:val="005058B7"/>
    <w:rsid w:val="00531FA2"/>
    <w:rsid w:val="005B6A7C"/>
    <w:rsid w:val="005C145E"/>
    <w:rsid w:val="00644413"/>
    <w:rsid w:val="00651D2B"/>
    <w:rsid w:val="00694B4F"/>
    <w:rsid w:val="00714FCD"/>
    <w:rsid w:val="00740E5A"/>
    <w:rsid w:val="007632BC"/>
    <w:rsid w:val="007C4148"/>
    <w:rsid w:val="007E0B41"/>
    <w:rsid w:val="00834CC3"/>
    <w:rsid w:val="00857523"/>
    <w:rsid w:val="00892367"/>
    <w:rsid w:val="00935A03"/>
    <w:rsid w:val="0096625A"/>
    <w:rsid w:val="00975F60"/>
    <w:rsid w:val="009C352E"/>
    <w:rsid w:val="00A30548"/>
    <w:rsid w:val="00A36E40"/>
    <w:rsid w:val="00A521AD"/>
    <w:rsid w:val="00AE1223"/>
    <w:rsid w:val="00AF55CD"/>
    <w:rsid w:val="00B2474F"/>
    <w:rsid w:val="00B26AB0"/>
    <w:rsid w:val="00B33869"/>
    <w:rsid w:val="00B60D82"/>
    <w:rsid w:val="00B8539A"/>
    <w:rsid w:val="00B9517A"/>
    <w:rsid w:val="00BB526E"/>
    <w:rsid w:val="00C116CA"/>
    <w:rsid w:val="00C5016A"/>
    <w:rsid w:val="00C732FD"/>
    <w:rsid w:val="00C7599F"/>
    <w:rsid w:val="00C926D5"/>
    <w:rsid w:val="00CA17CE"/>
    <w:rsid w:val="00CB2325"/>
    <w:rsid w:val="00CF52C2"/>
    <w:rsid w:val="00D3359D"/>
    <w:rsid w:val="00D4279C"/>
    <w:rsid w:val="00D43F74"/>
    <w:rsid w:val="00D602E8"/>
    <w:rsid w:val="00D95B1B"/>
    <w:rsid w:val="00E206E9"/>
    <w:rsid w:val="00E30DF7"/>
    <w:rsid w:val="00E36327"/>
    <w:rsid w:val="00E710BF"/>
    <w:rsid w:val="00EA3DD8"/>
    <w:rsid w:val="00EB08CB"/>
    <w:rsid w:val="00F031C9"/>
    <w:rsid w:val="00F84B98"/>
    <w:rsid w:val="00FA021A"/>
    <w:rsid w:val="00FB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3F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43F74"/>
    <w:pPr>
      <w:ind w:left="720"/>
      <w:contextualSpacing/>
    </w:pPr>
  </w:style>
  <w:style w:type="paragraph" w:customStyle="1" w:styleId="Default">
    <w:name w:val="Default"/>
    <w:rsid w:val="00D43F7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43F74"/>
    <w:pPr>
      <w:spacing w:before="100" w:beforeAutospacing="1" w:after="100" w:afterAutospacing="1"/>
    </w:pPr>
  </w:style>
  <w:style w:type="character" w:styleId="Strong">
    <w:name w:val="Strong"/>
    <w:basedOn w:val="DefaultParagraphFont"/>
    <w:uiPriority w:val="22"/>
    <w:qFormat/>
    <w:rsid w:val="002C7631"/>
    <w:rPr>
      <w:b/>
      <w:bCs/>
    </w:rPr>
  </w:style>
  <w:style w:type="paragraph" w:styleId="Header">
    <w:name w:val="header"/>
    <w:basedOn w:val="Normal"/>
    <w:link w:val="HeaderChar"/>
    <w:uiPriority w:val="99"/>
    <w:unhideWhenUsed/>
    <w:rsid w:val="00215FD0"/>
    <w:pPr>
      <w:tabs>
        <w:tab w:val="center" w:pos="4680"/>
        <w:tab w:val="right" w:pos="9360"/>
      </w:tabs>
    </w:pPr>
  </w:style>
  <w:style w:type="character" w:customStyle="1" w:styleId="HeaderChar">
    <w:name w:val="Header Char"/>
    <w:basedOn w:val="DefaultParagraphFont"/>
    <w:link w:val="Header"/>
    <w:uiPriority w:val="99"/>
    <w:rsid w:val="00215F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FD0"/>
    <w:pPr>
      <w:tabs>
        <w:tab w:val="center" w:pos="4680"/>
        <w:tab w:val="right" w:pos="9360"/>
      </w:tabs>
    </w:pPr>
  </w:style>
  <w:style w:type="character" w:customStyle="1" w:styleId="FooterChar">
    <w:name w:val="Footer Char"/>
    <w:basedOn w:val="DefaultParagraphFont"/>
    <w:link w:val="Footer"/>
    <w:uiPriority w:val="99"/>
    <w:rsid w:val="00215FD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4CC3"/>
    <w:rPr>
      <w:color w:val="0000FF" w:themeColor="hyperlink"/>
      <w:u w:val="single"/>
    </w:rPr>
  </w:style>
  <w:style w:type="character" w:styleId="FollowedHyperlink">
    <w:name w:val="FollowedHyperlink"/>
    <w:basedOn w:val="DefaultParagraphFont"/>
    <w:uiPriority w:val="99"/>
    <w:semiHidden/>
    <w:unhideWhenUsed/>
    <w:rsid w:val="00834CC3"/>
    <w:rPr>
      <w:color w:val="800080" w:themeColor="followedHyperlink"/>
      <w:u w:val="single"/>
    </w:rPr>
  </w:style>
  <w:style w:type="character" w:styleId="CommentReference">
    <w:name w:val="annotation reference"/>
    <w:basedOn w:val="DefaultParagraphFont"/>
    <w:uiPriority w:val="99"/>
    <w:semiHidden/>
    <w:unhideWhenUsed/>
    <w:rsid w:val="00CB2325"/>
    <w:rPr>
      <w:sz w:val="16"/>
      <w:szCs w:val="16"/>
    </w:rPr>
  </w:style>
  <w:style w:type="paragraph" w:styleId="CommentText">
    <w:name w:val="annotation text"/>
    <w:basedOn w:val="Normal"/>
    <w:link w:val="CommentTextChar"/>
    <w:uiPriority w:val="99"/>
    <w:semiHidden/>
    <w:unhideWhenUsed/>
    <w:rsid w:val="00CB2325"/>
    <w:rPr>
      <w:sz w:val="20"/>
      <w:szCs w:val="20"/>
    </w:rPr>
  </w:style>
  <w:style w:type="character" w:customStyle="1" w:styleId="CommentTextChar">
    <w:name w:val="Comment Text Char"/>
    <w:basedOn w:val="DefaultParagraphFont"/>
    <w:link w:val="CommentText"/>
    <w:uiPriority w:val="99"/>
    <w:semiHidden/>
    <w:rsid w:val="00CB23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2325"/>
    <w:rPr>
      <w:b/>
      <w:bCs/>
    </w:rPr>
  </w:style>
  <w:style w:type="character" w:customStyle="1" w:styleId="CommentSubjectChar">
    <w:name w:val="Comment Subject Char"/>
    <w:basedOn w:val="CommentTextChar"/>
    <w:link w:val="CommentSubject"/>
    <w:uiPriority w:val="99"/>
    <w:semiHidden/>
    <w:rsid w:val="00CB23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2325"/>
    <w:rPr>
      <w:rFonts w:ascii="Tahoma" w:hAnsi="Tahoma" w:cs="Tahoma"/>
      <w:sz w:val="16"/>
      <w:szCs w:val="16"/>
    </w:rPr>
  </w:style>
  <w:style w:type="character" w:customStyle="1" w:styleId="BalloonTextChar">
    <w:name w:val="Balloon Text Char"/>
    <w:basedOn w:val="DefaultParagraphFont"/>
    <w:link w:val="BalloonText"/>
    <w:uiPriority w:val="99"/>
    <w:semiHidden/>
    <w:rsid w:val="00CB2325"/>
    <w:rPr>
      <w:rFonts w:ascii="Tahoma" w:eastAsia="Times New Roman" w:hAnsi="Tahoma" w:cs="Tahoma"/>
      <w:sz w:val="16"/>
      <w:szCs w:val="16"/>
    </w:rPr>
  </w:style>
  <w:style w:type="paragraph" w:styleId="PlainText">
    <w:name w:val="Plain Text"/>
    <w:basedOn w:val="Normal"/>
    <w:link w:val="PlainTextChar"/>
    <w:uiPriority w:val="99"/>
    <w:semiHidden/>
    <w:unhideWhenUsed/>
    <w:rsid w:val="00001D0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01D05"/>
    <w:rPr>
      <w:rFonts w:ascii="Calibri" w:hAnsi="Calibri" w:cs="Consolas"/>
      <w:szCs w:val="21"/>
    </w:rPr>
  </w:style>
  <w:style w:type="paragraph" w:styleId="NoSpacing">
    <w:name w:val="No Spacing"/>
    <w:link w:val="NoSpacingChar"/>
    <w:uiPriority w:val="1"/>
    <w:qFormat/>
    <w:rsid w:val="00B9517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517A"/>
    <w:rPr>
      <w:rFonts w:eastAsiaTheme="minorEastAsia"/>
      <w:lang w:eastAsia="ja-JP"/>
    </w:rPr>
  </w:style>
  <w:style w:type="character" w:styleId="PlaceholderText">
    <w:name w:val="Placeholder Text"/>
    <w:basedOn w:val="DefaultParagraphFont"/>
    <w:uiPriority w:val="99"/>
    <w:semiHidden/>
    <w:rsid w:val="007632BC"/>
    <w:rPr>
      <w:color w:val="808080"/>
    </w:rPr>
  </w:style>
  <w:style w:type="character" w:customStyle="1" w:styleId="apple-converted-space">
    <w:name w:val="apple-converted-space"/>
    <w:basedOn w:val="DefaultParagraphFont"/>
    <w:rsid w:val="000A0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3F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43F74"/>
    <w:pPr>
      <w:ind w:left="720"/>
      <w:contextualSpacing/>
    </w:pPr>
  </w:style>
  <w:style w:type="paragraph" w:customStyle="1" w:styleId="Default">
    <w:name w:val="Default"/>
    <w:rsid w:val="00D43F7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43F74"/>
    <w:pPr>
      <w:spacing w:before="100" w:beforeAutospacing="1" w:after="100" w:afterAutospacing="1"/>
    </w:pPr>
  </w:style>
  <w:style w:type="character" w:styleId="Strong">
    <w:name w:val="Strong"/>
    <w:basedOn w:val="DefaultParagraphFont"/>
    <w:uiPriority w:val="22"/>
    <w:qFormat/>
    <w:rsid w:val="002C7631"/>
    <w:rPr>
      <w:b/>
      <w:bCs/>
    </w:rPr>
  </w:style>
  <w:style w:type="paragraph" w:styleId="Header">
    <w:name w:val="header"/>
    <w:basedOn w:val="Normal"/>
    <w:link w:val="HeaderChar"/>
    <w:uiPriority w:val="99"/>
    <w:unhideWhenUsed/>
    <w:rsid w:val="00215FD0"/>
    <w:pPr>
      <w:tabs>
        <w:tab w:val="center" w:pos="4680"/>
        <w:tab w:val="right" w:pos="9360"/>
      </w:tabs>
    </w:pPr>
  </w:style>
  <w:style w:type="character" w:customStyle="1" w:styleId="HeaderChar">
    <w:name w:val="Header Char"/>
    <w:basedOn w:val="DefaultParagraphFont"/>
    <w:link w:val="Header"/>
    <w:uiPriority w:val="99"/>
    <w:rsid w:val="00215F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FD0"/>
    <w:pPr>
      <w:tabs>
        <w:tab w:val="center" w:pos="4680"/>
        <w:tab w:val="right" w:pos="9360"/>
      </w:tabs>
    </w:pPr>
  </w:style>
  <w:style w:type="character" w:customStyle="1" w:styleId="FooterChar">
    <w:name w:val="Footer Char"/>
    <w:basedOn w:val="DefaultParagraphFont"/>
    <w:link w:val="Footer"/>
    <w:uiPriority w:val="99"/>
    <w:rsid w:val="00215FD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4CC3"/>
    <w:rPr>
      <w:color w:val="0000FF" w:themeColor="hyperlink"/>
      <w:u w:val="single"/>
    </w:rPr>
  </w:style>
  <w:style w:type="character" w:styleId="FollowedHyperlink">
    <w:name w:val="FollowedHyperlink"/>
    <w:basedOn w:val="DefaultParagraphFont"/>
    <w:uiPriority w:val="99"/>
    <w:semiHidden/>
    <w:unhideWhenUsed/>
    <w:rsid w:val="00834CC3"/>
    <w:rPr>
      <w:color w:val="800080" w:themeColor="followedHyperlink"/>
      <w:u w:val="single"/>
    </w:rPr>
  </w:style>
  <w:style w:type="character" w:styleId="CommentReference">
    <w:name w:val="annotation reference"/>
    <w:basedOn w:val="DefaultParagraphFont"/>
    <w:uiPriority w:val="99"/>
    <w:semiHidden/>
    <w:unhideWhenUsed/>
    <w:rsid w:val="00CB2325"/>
    <w:rPr>
      <w:sz w:val="16"/>
      <w:szCs w:val="16"/>
    </w:rPr>
  </w:style>
  <w:style w:type="paragraph" w:styleId="CommentText">
    <w:name w:val="annotation text"/>
    <w:basedOn w:val="Normal"/>
    <w:link w:val="CommentTextChar"/>
    <w:uiPriority w:val="99"/>
    <w:semiHidden/>
    <w:unhideWhenUsed/>
    <w:rsid w:val="00CB2325"/>
    <w:rPr>
      <w:sz w:val="20"/>
      <w:szCs w:val="20"/>
    </w:rPr>
  </w:style>
  <w:style w:type="character" w:customStyle="1" w:styleId="CommentTextChar">
    <w:name w:val="Comment Text Char"/>
    <w:basedOn w:val="DefaultParagraphFont"/>
    <w:link w:val="CommentText"/>
    <w:uiPriority w:val="99"/>
    <w:semiHidden/>
    <w:rsid w:val="00CB23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2325"/>
    <w:rPr>
      <w:b/>
      <w:bCs/>
    </w:rPr>
  </w:style>
  <w:style w:type="character" w:customStyle="1" w:styleId="CommentSubjectChar">
    <w:name w:val="Comment Subject Char"/>
    <w:basedOn w:val="CommentTextChar"/>
    <w:link w:val="CommentSubject"/>
    <w:uiPriority w:val="99"/>
    <w:semiHidden/>
    <w:rsid w:val="00CB23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2325"/>
    <w:rPr>
      <w:rFonts w:ascii="Tahoma" w:hAnsi="Tahoma" w:cs="Tahoma"/>
      <w:sz w:val="16"/>
      <w:szCs w:val="16"/>
    </w:rPr>
  </w:style>
  <w:style w:type="character" w:customStyle="1" w:styleId="BalloonTextChar">
    <w:name w:val="Balloon Text Char"/>
    <w:basedOn w:val="DefaultParagraphFont"/>
    <w:link w:val="BalloonText"/>
    <w:uiPriority w:val="99"/>
    <w:semiHidden/>
    <w:rsid w:val="00CB2325"/>
    <w:rPr>
      <w:rFonts w:ascii="Tahoma" w:eastAsia="Times New Roman" w:hAnsi="Tahoma" w:cs="Tahoma"/>
      <w:sz w:val="16"/>
      <w:szCs w:val="16"/>
    </w:rPr>
  </w:style>
  <w:style w:type="paragraph" w:styleId="PlainText">
    <w:name w:val="Plain Text"/>
    <w:basedOn w:val="Normal"/>
    <w:link w:val="PlainTextChar"/>
    <w:uiPriority w:val="99"/>
    <w:semiHidden/>
    <w:unhideWhenUsed/>
    <w:rsid w:val="00001D0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01D05"/>
    <w:rPr>
      <w:rFonts w:ascii="Calibri" w:hAnsi="Calibri" w:cs="Consolas"/>
      <w:szCs w:val="21"/>
    </w:rPr>
  </w:style>
  <w:style w:type="paragraph" w:styleId="NoSpacing">
    <w:name w:val="No Spacing"/>
    <w:link w:val="NoSpacingChar"/>
    <w:uiPriority w:val="1"/>
    <w:qFormat/>
    <w:rsid w:val="00B9517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517A"/>
    <w:rPr>
      <w:rFonts w:eastAsiaTheme="minorEastAsia"/>
      <w:lang w:eastAsia="ja-JP"/>
    </w:rPr>
  </w:style>
  <w:style w:type="character" w:styleId="PlaceholderText">
    <w:name w:val="Placeholder Text"/>
    <w:basedOn w:val="DefaultParagraphFont"/>
    <w:uiPriority w:val="99"/>
    <w:semiHidden/>
    <w:rsid w:val="007632BC"/>
    <w:rPr>
      <w:color w:val="808080"/>
    </w:rPr>
  </w:style>
  <w:style w:type="character" w:customStyle="1" w:styleId="apple-converted-space">
    <w:name w:val="apple-converted-space"/>
    <w:basedOn w:val="DefaultParagraphFont"/>
    <w:rsid w:val="000A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4271">
      <w:bodyDiv w:val="1"/>
      <w:marLeft w:val="0"/>
      <w:marRight w:val="0"/>
      <w:marTop w:val="0"/>
      <w:marBottom w:val="0"/>
      <w:divBdr>
        <w:top w:val="none" w:sz="0" w:space="0" w:color="auto"/>
        <w:left w:val="none" w:sz="0" w:space="0" w:color="auto"/>
        <w:bottom w:val="none" w:sz="0" w:space="0" w:color="auto"/>
        <w:right w:val="none" w:sz="0" w:space="0" w:color="auto"/>
      </w:divBdr>
    </w:div>
    <w:div w:id="1054161585">
      <w:bodyDiv w:val="1"/>
      <w:marLeft w:val="0"/>
      <w:marRight w:val="0"/>
      <w:marTop w:val="0"/>
      <w:marBottom w:val="0"/>
      <w:divBdr>
        <w:top w:val="none" w:sz="0" w:space="0" w:color="auto"/>
        <w:left w:val="none" w:sz="0" w:space="0" w:color="auto"/>
        <w:bottom w:val="none" w:sz="0" w:space="0" w:color="auto"/>
        <w:right w:val="none" w:sz="0" w:space="0" w:color="auto"/>
      </w:divBdr>
    </w:div>
    <w:div w:id="1249733179">
      <w:bodyDiv w:val="1"/>
      <w:marLeft w:val="0"/>
      <w:marRight w:val="0"/>
      <w:marTop w:val="0"/>
      <w:marBottom w:val="0"/>
      <w:divBdr>
        <w:top w:val="none" w:sz="0" w:space="0" w:color="auto"/>
        <w:left w:val="none" w:sz="0" w:space="0" w:color="auto"/>
        <w:bottom w:val="none" w:sz="0" w:space="0" w:color="auto"/>
        <w:right w:val="none" w:sz="0" w:space="0" w:color="auto"/>
      </w:divBdr>
    </w:div>
    <w:div w:id="1308120712">
      <w:bodyDiv w:val="1"/>
      <w:marLeft w:val="0"/>
      <w:marRight w:val="0"/>
      <w:marTop w:val="0"/>
      <w:marBottom w:val="0"/>
      <w:divBdr>
        <w:top w:val="none" w:sz="0" w:space="0" w:color="auto"/>
        <w:left w:val="none" w:sz="0" w:space="0" w:color="auto"/>
        <w:bottom w:val="none" w:sz="0" w:space="0" w:color="auto"/>
        <w:right w:val="none" w:sz="0" w:space="0" w:color="auto"/>
      </w:divBdr>
    </w:div>
    <w:div w:id="1472676173">
      <w:bodyDiv w:val="1"/>
      <w:marLeft w:val="0"/>
      <w:marRight w:val="0"/>
      <w:marTop w:val="0"/>
      <w:marBottom w:val="0"/>
      <w:divBdr>
        <w:top w:val="none" w:sz="0" w:space="0" w:color="auto"/>
        <w:left w:val="none" w:sz="0" w:space="0" w:color="auto"/>
        <w:bottom w:val="none" w:sz="0" w:space="0" w:color="auto"/>
        <w:right w:val="none" w:sz="0" w:space="0" w:color="auto"/>
      </w:divBdr>
    </w:div>
    <w:div w:id="1868442143">
      <w:bodyDiv w:val="1"/>
      <w:marLeft w:val="0"/>
      <w:marRight w:val="0"/>
      <w:marTop w:val="0"/>
      <w:marBottom w:val="0"/>
      <w:divBdr>
        <w:top w:val="none" w:sz="0" w:space="0" w:color="auto"/>
        <w:left w:val="none" w:sz="0" w:space="0" w:color="auto"/>
        <w:bottom w:val="none" w:sz="0" w:space="0" w:color="auto"/>
        <w:right w:val="none" w:sz="0" w:space="0" w:color="auto"/>
      </w:divBdr>
    </w:div>
    <w:div w:id="2018575947">
      <w:bodyDiv w:val="1"/>
      <w:marLeft w:val="0"/>
      <w:marRight w:val="0"/>
      <w:marTop w:val="0"/>
      <w:marBottom w:val="0"/>
      <w:divBdr>
        <w:top w:val="none" w:sz="0" w:space="0" w:color="auto"/>
        <w:left w:val="none" w:sz="0" w:space="0" w:color="auto"/>
        <w:bottom w:val="none" w:sz="0" w:space="0" w:color="auto"/>
        <w:right w:val="none" w:sz="0" w:space="0" w:color="auto"/>
      </w:divBdr>
    </w:div>
    <w:div w:id="2108382559">
      <w:bodyDiv w:val="1"/>
      <w:marLeft w:val="0"/>
      <w:marRight w:val="0"/>
      <w:marTop w:val="0"/>
      <w:marBottom w:val="0"/>
      <w:divBdr>
        <w:top w:val="none" w:sz="0" w:space="0" w:color="auto"/>
        <w:left w:val="none" w:sz="0" w:space="0" w:color="auto"/>
        <w:bottom w:val="none" w:sz="0" w:space="0" w:color="auto"/>
        <w:right w:val="none" w:sz="0" w:space="0" w:color="auto"/>
      </w:divBdr>
    </w:div>
    <w:div w:id="2128156957">
      <w:bodyDiv w:val="1"/>
      <w:marLeft w:val="0"/>
      <w:marRight w:val="0"/>
      <w:marTop w:val="0"/>
      <w:marBottom w:val="0"/>
      <w:divBdr>
        <w:top w:val="none" w:sz="0" w:space="0" w:color="auto"/>
        <w:left w:val="none" w:sz="0" w:space="0" w:color="auto"/>
        <w:bottom w:val="none" w:sz="0" w:space="0" w:color="auto"/>
        <w:right w:val="none" w:sz="0" w:space="0" w:color="auto"/>
      </w:divBdr>
    </w:div>
    <w:div w:id="21446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sidehighered.com/sites/default/server_files/files/Recommendations%20for%20Standards%20in%20PLA%20-%20Final%20Version%201-1.p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ous.edu/sites/default/files/partner/k12/APCourseCredit2013_14_Final.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sidehighered.com/sites/default/server_files/files/Recommendations%20for%20Standards%20in%20PLA%20-%20Final%20Version%20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us.edu/sites/default/files/partner/k12/IBCourseCredit2013_14_Final.pdf" TargetMode="External"/><Relationship Id="rId5" Type="http://schemas.microsoft.com/office/2007/relationships/stylesWithEffects" Target="stylesWithEffects.xml"/><Relationship Id="rId15" Type="http://schemas.openxmlformats.org/officeDocument/2006/relationships/hyperlink" Target="http://www.insidehighered.com/sites/default/server_files/files/Recommendations%20for%20Standards%20in%20PLA%20-%20Final%20Version%201-1.pdf" TargetMode="External"/><Relationship Id="rId10" Type="http://schemas.openxmlformats.org/officeDocument/2006/relationships/hyperlink" Target="http://www.insidehighered.com/sites/default/server_files/files/Recommendations%20for%20Standards%20in%20PLA%20-%20Final%20Version%201-1.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arylhurst.edu/academics/prior-learning-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6432B3-361A-4AFA-A8F2-EB9C93D1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Oregon Credit for Prior Learning Standards</vt:lpstr>
    </vt:vector>
  </TitlesOfParts>
  <Company>Dept. Community Colleges</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Credit for Prior Learning Standards</dc:title>
  <dc:subject>Draft for Institutional Consideration</dc:subject>
  <dc:creator>Oregon Higher Education Coordinating Commission</dc:creator>
  <cp:lastModifiedBy>Donna J Lewelling</cp:lastModifiedBy>
  <cp:revision>2</cp:revision>
  <cp:lastPrinted>2013-08-07T17:46:00Z</cp:lastPrinted>
  <dcterms:created xsi:type="dcterms:W3CDTF">2013-10-18T13:10:00Z</dcterms:created>
  <dcterms:modified xsi:type="dcterms:W3CDTF">2013-10-18T13:10:00Z</dcterms:modified>
</cp:coreProperties>
</file>